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2 лютого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дня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як орган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про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чином як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водоплавних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збалансованого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.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2 лютого, в день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про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чином як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водоплавних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у 1971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Рамсар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Іран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день водно-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.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Секретаріат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Рамсарської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визначив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тему 2022 року: «Водно-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людям і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!».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екосистем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Відновлюючи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зберігаючи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застосовуємо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природоорієнтовані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.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2 лютого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дня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Адаптовані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7261">
        <w:rPr>
          <w:rFonts w:ascii="Times New Roman" w:hAnsi="Times New Roman" w:cs="Times New Roman"/>
          <w:sz w:val="28"/>
          <w:szCs w:val="28"/>
          <w:lang w:val="en-US"/>
        </w:rPr>
        <w:t>https://drive.google.com/drive/folders/15UQO8fD2MhxtrLcdP2AudF7cHAS29uJt7usp5sha ring.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Заплановані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заходи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просимо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висвітлити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Рамсарської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https://www.worldwetlandsday.org/en/events.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болотними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угіддями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координаційних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рад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;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lastRenderedPageBreak/>
        <w:t>розробити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у 2022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;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поновити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знаки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;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.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стану водно-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нагадуємо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суворого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стану при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>.</w:t>
      </w:r>
    </w:p>
    <w:p w:rsid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Просимо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болотних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до 28 лютого 2022 року. 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1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Міністра</w:t>
      </w:r>
      <w:proofErr w:type="spellEnd"/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61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A57261">
        <w:rPr>
          <w:rFonts w:ascii="Times New Roman" w:hAnsi="Times New Roman" w:cs="Times New Roman"/>
          <w:sz w:val="28"/>
          <w:szCs w:val="28"/>
        </w:rPr>
        <w:t xml:space="preserve"> КРАСНОЛУЦЬКИЙ</w:t>
      </w:r>
    </w:p>
    <w:p w:rsidR="00A57261" w:rsidRPr="00A57261" w:rsidRDefault="00A57261" w:rsidP="00A57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955" w:rsidRPr="00A57261" w:rsidRDefault="00C13955" w:rsidP="00A57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955" w:rsidRPr="00A5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9"/>
    <w:rsid w:val="00653A99"/>
    <w:rsid w:val="00A57261"/>
    <w:rsid w:val="00C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626"/>
  <w15:chartTrackingRefBased/>
  <w15:docId w15:val="{E417A560-5966-471E-90B7-DBCDCF18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cp:keywords/>
  <dc:description/>
  <cp:lastModifiedBy>РДА</cp:lastModifiedBy>
  <cp:revision>2</cp:revision>
  <dcterms:created xsi:type="dcterms:W3CDTF">2022-01-28T11:01:00Z</dcterms:created>
  <dcterms:modified xsi:type="dcterms:W3CDTF">2022-01-28T11:06:00Z</dcterms:modified>
</cp:coreProperties>
</file>