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02" w:rsidRDefault="00653B02">
      <w:pPr>
        <w:spacing w:line="259" w:lineRule="auto"/>
        <w:rPr>
          <w:rFonts w:ascii="Times New Roman" w:hAnsi="Times New Roman"/>
          <w:sz w:val="28"/>
          <w:szCs w:val="28"/>
        </w:rPr>
      </w:pPr>
    </w:p>
    <w:p w:rsidR="00016B28" w:rsidRPr="00016B28" w:rsidRDefault="00016B28" w:rsidP="00016B28">
      <w:pPr>
        <w:spacing w:line="259" w:lineRule="auto"/>
        <w:jc w:val="center"/>
        <w:rPr>
          <w:rFonts w:ascii="Times New Roman" w:hAnsi="Times New Roman"/>
          <w:b/>
          <w:sz w:val="28"/>
          <w:szCs w:val="28"/>
        </w:rPr>
      </w:pPr>
      <w:r w:rsidRPr="00016B28">
        <w:rPr>
          <w:rFonts w:ascii="Times New Roman" w:hAnsi="Times New Roman"/>
          <w:b/>
          <w:sz w:val="28"/>
          <w:szCs w:val="28"/>
        </w:rPr>
        <w:t>Академія краудфандингу ПРООН оголошує набір на навчання</w:t>
      </w:r>
    </w:p>
    <w:p w:rsidR="00016B28" w:rsidRPr="00016B28" w:rsidRDefault="00016B28" w:rsidP="00016B28">
      <w:pPr>
        <w:spacing w:line="259" w:lineRule="auto"/>
        <w:jc w:val="both"/>
        <w:rPr>
          <w:rFonts w:ascii="Times New Roman" w:hAnsi="Times New Roman"/>
          <w:sz w:val="28"/>
          <w:szCs w:val="28"/>
        </w:rPr>
      </w:pP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Програма розвитку ООН (ПРООН) в Україні та CookEd agency розпочинають набір підприємців та стартаперів із Донеччини та Луганщини до Академії краудфандингу 2019. Ініціатива реалізується у рамках Програми ООН із відновлення та розбудови миру за підтримки Європейського Союзу.</w:t>
      </w:r>
      <w:r>
        <w:rPr>
          <w:rFonts w:ascii="Times New Roman" w:hAnsi="Times New Roman"/>
          <w:sz w:val="28"/>
          <w:szCs w:val="28"/>
        </w:rPr>
        <w:t xml:space="preserve"> </w:t>
      </w: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Якщо ти гориш своєю справою та хочеш її розвивати, подавай свою заявку на навчання. Краудфандинг — це прозорий та інноваційний інструмент для залучення коштів та підтримки бізнес-ідеї від простих громадян.</w:t>
      </w: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Провідні експерти з краудфандингу, копірайтингу, дизайну та соціальних медіа допоможуть підприємцям залучити необхідне фінансування для розвитку власної справи за допомогою онлайн-інструментів та інноваційних методик. Щоб стати учасником Академії краудфандингу, підприємці мають описати свою бізнес-ідею та пояснити, для чого і скільки коштів їм для цього необхідно залучити.</w:t>
      </w:r>
    </w:p>
    <w:p w:rsidR="00016B28" w:rsidRPr="00016B28" w:rsidRDefault="00016B28" w:rsidP="00016B28">
      <w:pPr>
        <w:spacing w:line="259" w:lineRule="auto"/>
        <w:ind w:firstLine="708"/>
        <w:jc w:val="both"/>
        <w:rPr>
          <w:rFonts w:ascii="Times New Roman" w:hAnsi="Times New Roman"/>
          <w:b/>
          <w:sz w:val="28"/>
          <w:szCs w:val="28"/>
        </w:rPr>
      </w:pPr>
      <w:r w:rsidRPr="00016B28">
        <w:rPr>
          <w:rFonts w:ascii="Times New Roman" w:hAnsi="Times New Roman"/>
          <w:b/>
          <w:sz w:val="28"/>
          <w:szCs w:val="28"/>
        </w:rPr>
        <w:t>Академія краудфандингу це:</w:t>
      </w:r>
    </w:p>
    <w:p w:rsidR="00016B28" w:rsidRPr="00016B28" w:rsidRDefault="00016B28" w:rsidP="00016B28">
      <w:pPr>
        <w:spacing w:line="259" w:lineRule="auto"/>
        <w:jc w:val="both"/>
        <w:rPr>
          <w:rFonts w:ascii="Times New Roman" w:hAnsi="Times New Roman"/>
          <w:sz w:val="28"/>
          <w:szCs w:val="28"/>
        </w:rPr>
      </w:pPr>
      <w:r w:rsidRPr="00016B28">
        <w:rPr>
          <w:rFonts w:ascii="Times New Roman" w:hAnsi="Times New Roman"/>
          <w:sz w:val="28"/>
          <w:szCs w:val="28"/>
        </w:rPr>
        <w:t>● 4 дні живого навчання з провідними експертами-практиками;</w:t>
      </w:r>
    </w:p>
    <w:p w:rsidR="00016B28" w:rsidRPr="00016B28" w:rsidRDefault="00016B28" w:rsidP="00016B28">
      <w:pPr>
        <w:spacing w:line="259" w:lineRule="auto"/>
        <w:jc w:val="both"/>
        <w:rPr>
          <w:rFonts w:ascii="Times New Roman" w:hAnsi="Times New Roman"/>
          <w:sz w:val="28"/>
          <w:szCs w:val="28"/>
        </w:rPr>
      </w:pPr>
      <w:r w:rsidRPr="00016B28">
        <w:rPr>
          <w:rFonts w:ascii="Times New Roman" w:hAnsi="Times New Roman"/>
          <w:sz w:val="28"/>
          <w:szCs w:val="28"/>
        </w:rPr>
        <w:t>● онлайн-навчання та консультації;</w:t>
      </w:r>
    </w:p>
    <w:p w:rsidR="00016B28" w:rsidRPr="00016B28" w:rsidRDefault="00016B28" w:rsidP="00016B28">
      <w:pPr>
        <w:spacing w:line="259" w:lineRule="auto"/>
        <w:jc w:val="both"/>
        <w:rPr>
          <w:rFonts w:ascii="Times New Roman" w:hAnsi="Times New Roman"/>
          <w:sz w:val="28"/>
          <w:szCs w:val="28"/>
        </w:rPr>
      </w:pPr>
      <w:r w:rsidRPr="00016B28">
        <w:rPr>
          <w:rFonts w:ascii="Times New Roman" w:hAnsi="Times New Roman"/>
          <w:sz w:val="28"/>
          <w:szCs w:val="28"/>
        </w:rPr>
        <w:t>● супровід у створенні заявки на краудфандинг;</w:t>
      </w:r>
    </w:p>
    <w:p w:rsidR="00016B28" w:rsidRPr="00016B28" w:rsidRDefault="00016B28" w:rsidP="00016B28">
      <w:pPr>
        <w:spacing w:line="259" w:lineRule="auto"/>
        <w:jc w:val="both"/>
        <w:rPr>
          <w:rFonts w:ascii="Times New Roman" w:hAnsi="Times New Roman"/>
          <w:sz w:val="28"/>
          <w:szCs w:val="28"/>
        </w:rPr>
      </w:pPr>
      <w:r w:rsidRPr="00016B28">
        <w:rPr>
          <w:rFonts w:ascii="Times New Roman" w:hAnsi="Times New Roman"/>
          <w:sz w:val="28"/>
          <w:szCs w:val="28"/>
        </w:rPr>
        <w:t>● запуск кампанії зі збору коштів;</w:t>
      </w:r>
    </w:p>
    <w:p w:rsidR="00016B28" w:rsidRPr="00016B28" w:rsidRDefault="00016B28" w:rsidP="00016B28">
      <w:pPr>
        <w:spacing w:line="259" w:lineRule="auto"/>
        <w:jc w:val="both"/>
        <w:rPr>
          <w:rFonts w:ascii="Times New Roman" w:hAnsi="Times New Roman"/>
          <w:sz w:val="28"/>
          <w:szCs w:val="28"/>
        </w:rPr>
      </w:pPr>
      <w:r w:rsidRPr="00016B28">
        <w:rPr>
          <w:rFonts w:ascii="Times New Roman" w:hAnsi="Times New Roman"/>
          <w:sz w:val="28"/>
          <w:szCs w:val="28"/>
        </w:rPr>
        <w:t>● унікальний досвід та нові знайомства.</w:t>
      </w:r>
      <w:r>
        <w:rPr>
          <w:rFonts w:ascii="Times New Roman" w:hAnsi="Times New Roman"/>
          <w:sz w:val="28"/>
          <w:szCs w:val="28"/>
        </w:rPr>
        <w:t xml:space="preserve"> </w:t>
      </w: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Учасники минулої Академії краудфандингу успішно залучили кошти та навіть знайшли іноземних інвесторів для своїх проектів. Серед прикладів запуску власної справи: наукова-квест гра «Таємна експедиція», WalQlike — екскурсії з загадками, Традиційні килими Полтавщини, VoltyCo — виробництво електричних велосипедів.</w:t>
      </w:r>
    </w:p>
    <w:p w:rsidR="00016B28" w:rsidRPr="00016B28" w:rsidRDefault="00016B28" w:rsidP="00016B28">
      <w:pPr>
        <w:spacing w:line="259" w:lineRule="auto"/>
        <w:jc w:val="both"/>
        <w:rPr>
          <w:rFonts w:ascii="Times New Roman" w:hAnsi="Times New Roman"/>
          <w:sz w:val="28"/>
          <w:szCs w:val="28"/>
        </w:rPr>
      </w:pPr>
    </w:p>
    <w:p w:rsidR="00016B28" w:rsidRPr="00016B28" w:rsidRDefault="00016B28" w:rsidP="00016B28">
      <w:pPr>
        <w:spacing w:line="259" w:lineRule="auto"/>
        <w:ind w:firstLine="708"/>
        <w:jc w:val="both"/>
        <w:rPr>
          <w:rFonts w:ascii="Times New Roman" w:hAnsi="Times New Roman"/>
          <w:b/>
          <w:sz w:val="28"/>
          <w:szCs w:val="28"/>
        </w:rPr>
      </w:pPr>
      <w:r w:rsidRPr="00016B28">
        <w:rPr>
          <w:rFonts w:ascii="Times New Roman" w:hAnsi="Times New Roman"/>
          <w:b/>
          <w:sz w:val="28"/>
          <w:szCs w:val="28"/>
        </w:rPr>
        <w:t>Вимоги до учасників:</w:t>
      </w:r>
    </w:p>
    <w:p w:rsidR="00016B28" w:rsidRPr="00016B28" w:rsidRDefault="00016B28" w:rsidP="00016B28">
      <w:pPr>
        <w:spacing w:line="259" w:lineRule="auto"/>
        <w:jc w:val="both"/>
        <w:rPr>
          <w:rFonts w:ascii="Times New Roman" w:hAnsi="Times New Roman"/>
          <w:sz w:val="28"/>
          <w:szCs w:val="28"/>
        </w:rPr>
      </w:pPr>
      <w:r w:rsidRPr="00016B28">
        <w:rPr>
          <w:rFonts w:ascii="Times New Roman" w:hAnsi="Times New Roman"/>
          <w:sz w:val="28"/>
          <w:szCs w:val="28"/>
        </w:rPr>
        <w:t>● мати підприємство/справу/проект, що працює, або презентувати бізнес-ідею та план її втілення</w:t>
      </w:r>
    </w:p>
    <w:p w:rsidR="00016B28" w:rsidRPr="00016B28" w:rsidRDefault="00016B28" w:rsidP="00016B28">
      <w:pPr>
        <w:spacing w:line="259" w:lineRule="auto"/>
        <w:jc w:val="both"/>
        <w:rPr>
          <w:rFonts w:ascii="Times New Roman" w:hAnsi="Times New Roman"/>
          <w:sz w:val="28"/>
          <w:szCs w:val="28"/>
        </w:rPr>
      </w:pPr>
      <w:r w:rsidRPr="00016B28">
        <w:rPr>
          <w:rFonts w:ascii="Times New Roman" w:hAnsi="Times New Roman"/>
          <w:sz w:val="28"/>
          <w:szCs w:val="28"/>
        </w:rPr>
        <w:t>● команда щонайменше з 2 осіб, бажано з досвідом маркетингу чи комунікацій;</w:t>
      </w:r>
    </w:p>
    <w:p w:rsidR="00016B28" w:rsidRPr="00016B28" w:rsidRDefault="00016B28" w:rsidP="00016B28">
      <w:pPr>
        <w:spacing w:line="259" w:lineRule="auto"/>
        <w:jc w:val="both"/>
        <w:rPr>
          <w:rFonts w:ascii="Times New Roman" w:hAnsi="Times New Roman"/>
          <w:sz w:val="28"/>
          <w:szCs w:val="28"/>
        </w:rPr>
      </w:pPr>
      <w:r w:rsidRPr="00016B28">
        <w:rPr>
          <w:rFonts w:ascii="Times New Roman" w:hAnsi="Times New Roman"/>
          <w:sz w:val="28"/>
          <w:szCs w:val="28"/>
        </w:rPr>
        <w:t>● мати власний або партнерський ФОП;</w:t>
      </w:r>
    </w:p>
    <w:p w:rsidR="00016B28" w:rsidRPr="00016B28" w:rsidRDefault="00016B28" w:rsidP="00016B28">
      <w:pPr>
        <w:spacing w:line="259" w:lineRule="auto"/>
        <w:jc w:val="both"/>
        <w:rPr>
          <w:rFonts w:ascii="Times New Roman" w:hAnsi="Times New Roman"/>
          <w:sz w:val="28"/>
          <w:szCs w:val="28"/>
        </w:rPr>
      </w:pPr>
      <w:r w:rsidRPr="00016B28">
        <w:rPr>
          <w:rFonts w:ascii="Times New Roman" w:hAnsi="Times New Roman"/>
          <w:sz w:val="28"/>
          <w:szCs w:val="28"/>
        </w:rPr>
        <w:t>● готовність інвестувати час та зусилля в навчання в Академії та проведення власної кампанії. Загалом у період з березеня по травень включно планується провести 4 дні офлайн-навчання, щотижневі годинні скайп-конференції та виконання тематичних завдань для підготовки кампанії, витрачаючи щонайменше 10 годин на тиждень на її проведення.</w:t>
      </w:r>
    </w:p>
    <w:p w:rsidR="00016B28" w:rsidRPr="00016B28" w:rsidRDefault="00016B28" w:rsidP="00016B28">
      <w:pPr>
        <w:spacing w:line="259" w:lineRule="auto"/>
        <w:jc w:val="both"/>
        <w:rPr>
          <w:rFonts w:ascii="Times New Roman" w:hAnsi="Times New Roman"/>
          <w:sz w:val="28"/>
          <w:szCs w:val="28"/>
        </w:rPr>
      </w:pPr>
    </w:p>
    <w:p w:rsidR="00016B28" w:rsidRPr="00016B28" w:rsidRDefault="00016B28" w:rsidP="00016B28">
      <w:pPr>
        <w:spacing w:line="259" w:lineRule="auto"/>
        <w:ind w:firstLine="708"/>
        <w:jc w:val="both"/>
        <w:rPr>
          <w:rFonts w:ascii="Times New Roman" w:hAnsi="Times New Roman"/>
          <w:b/>
          <w:sz w:val="28"/>
          <w:szCs w:val="28"/>
        </w:rPr>
      </w:pPr>
      <w:r w:rsidRPr="00016B28">
        <w:rPr>
          <w:rFonts w:ascii="Times New Roman" w:hAnsi="Times New Roman"/>
          <w:b/>
          <w:sz w:val="28"/>
          <w:szCs w:val="28"/>
        </w:rPr>
        <w:t>Дати навчання:</w:t>
      </w:r>
    </w:p>
    <w:p w:rsidR="00016B28" w:rsidRPr="00016B28" w:rsidRDefault="00016B28" w:rsidP="00016B28">
      <w:pPr>
        <w:spacing w:line="259" w:lineRule="auto"/>
        <w:jc w:val="both"/>
        <w:rPr>
          <w:rFonts w:ascii="Times New Roman" w:hAnsi="Times New Roman"/>
          <w:sz w:val="28"/>
          <w:szCs w:val="28"/>
        </w:rPr>
      </w:pP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b/>
          <w:sz w:val="28"/>
          <w:szCs w:val="28"/>
        </w:rPr>
        <w:t>29-30 березня</w:t>
      </w:r>
      <w:r w:rsidRPr="00016B28">
        <w:rPr>
          <w:rFonts w:ascii="Times New Roman" w:hAnsi="Times New Roman"/>
          <w:sz w:val="28"/>
          <w:szCs w:val="28"/>
        </w:rPr>
        <w:t xml:space="preserve"> </w:t>
      </w:r>
      <w:r w:rsidRPr="00016B28">
        <w:rPr>
          <w:rFonts w:ascii="Times New Roman" w:hAnsi="Times New Roman"/>
          <w:b/>
          <w:sz w:val="28"/>
          <w:szCs w:val="28"/>
        </w:rPr>
        <w:t>— Модуль 1</w:t>
      </w:r>
      <w:r w:rsidRPr="00016B28">
        <w:rPr>
          <w:rFonts w:ascii="Times New Roman" w:hAnsi="Times New Roman"/>
          <w:sz w:val="28"/>
          <w:szCs w:val="28"/>
        </w:rPr>
        <w:t xml:space="preserve"> (місце проведення — Донецька область, локація уточнюється).</w:t>
      </w:r>
    </w:p>
    <w:p w:rsidR="00016B28" w:rsidRPr="00016B28" w:rsidRDefault="00016B28" w:rsidP="00016B28">
      <w:pPr>
        <w:spacing w:line="259" w:lineRule="auto"/>
        <w:jc w:val="both"/>
        <w:rPr>
          <w:rFonts w:ascii="Times New Roman" w:hAnsi="Times New Roman"/>
          <w:sz w:val="28"/>
          <w:szCs w:val="28"/>
        </w:rPr>
      </w:pPr>
      <w:r w:rsidRPr="00016B28">
        <w:rPr>
          <w:rFonts w:ascii="Times New Roman" w:hAnsi="Times New Roman"/>
          <w:b/>
          <w:sz w:val="28"/>
          <w:szCs w:val="28"/>
        </w:rPr>
        <w:lastRenderedPageBreak/>
        <w:t>13-14 квітня — Модуль 2</w:t>
      </w:r>
      <w:r w:rsidRPr="00016B28">
        <w:rPr>
          <w:rFonts w:ascii="Times New Roman" w:hAnsi="Times New Roman"/>
          <w:sz w:val="28"/>
          <w:szCs w:val="28"/>
        </w:rPr>
        <w:t xml:space="preserve"> (місце проведення — Київ).</w:t>
      </w:r>
      <w:r>
        <w:rPr>
          <w:rFonts w:ascii="Times New Roman" w:hAnsi="Times New Roman"/>
          <w:sz w:val="28"/>
          <w:szCs w:val="28"/>
        </w:rPr>
        <w:tab/>
      </w: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Присутність на модулях обов’язкова.</w:t>
      </w: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Учасникам покривається проїзд, харчування та проживання.</w:t>
      </w: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 xml:space="preserve">Реєстрація заявок триває до 21 березня. Залишайте свою заявку за посиланням </w:t>
      </w:r>
      <w:r w:rsidRPr="00016B28">
        <w:rPr>
          <w:rFonts w:ascii="Times New Roman" w:hAnsi="Times New Roman"/>
          <w:b/>
          <w:sz w:val="28"/>
          <w:szCs w:val="28"/>
        </w:rPr>
        <w:t>https://bit.ly/2TCuw7b</w:t>
      </w:r>
    </w:p>
    <w:p w:rsidR="00016B28" w:rsidRPr="00016B28" w:rsidRDefault="00016B28" w:rsidP="00016B28">
      <w:pPr>
        <w:spacing w:line="259" w:lineRule="auto"/>
        <w:jc w:val="both"/>
        <w:rPr>
          <w:rFonts w:ascii="Times New Roman" w:hAnsi="Times New Roman"/>
          <w:sz w:val="28"/>
          <w:szCs w:val="28"/>
        </w:rPr>
      </w:pP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Довідкова інформація:</w:t>
      </w: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З 2015 року ПРООН в Україні надає гранти на започаткування або розвиток власної справи та навчає людей бізнес-навичкам у Східній України. За цей час було підтримано близько 650 бізнесів та створено понад 3300 робочих місць у постраждалих від конфлікту Донецькій, Луганській та інших областях України.</w:t>
      </w: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CookEd agency – агенція краудфандингу та саморозвитку, спеціалізується на консалтингу та супроводі краудфандингових кампаній. Агенція створила онлайн-курс «Джерела: гроші та самоповага» та першу школу краудфандингу FUNDays.</w:t>
      </w: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Медіа партнер проекту - Marketing Media Review.</w:t>
      </w:r>
    </w:p>
    <w:p w:rsidR="00016B28" w:rsidRPr="00016B28" w:rsidRDefault="00016B28" w:rsidP="00016B28">
      <w:pPr>
        <w:spacing w:line="259" w:lineRule="auto"/>
        <w:ind w:firstLine="708"/>
        <w:jc w:val="both"/>
        <w:rPr>
          <w:rFonts w:ascii="Times New Roman" w:hAnsi="Times New Roman"/>
          <w:sz w:val="28"/>
          <w:szCs w:val="28"/>
        </w:rPr>
      </w:pPr>
      <w:r w:rsidRPr="00016B28">
        <w:rPr>
          <w:rFonts w:ascii="Times New Roman" w:hAnsi="Times New Roman"/>
          <w:sz w:val="28"/>
          <w:szCs w:val="28"/>
        </w:rPr>
        <w:t>Для запитів ЗМІ:</w:t>
      </w:r>
    </w:p>
    <w:p w:rsidR="003F00C4" w:rsidRPr="00016B28" w:rsidRDefault="00016B28" w:rsidP="00016B28">
      <w:pPr>
        <w:spacing w:line="259" w:lineRule="auto"/>
        <w:jc w:val="both"/>
        <w:rPr>
          <w:rFonts w:ascii="Times New Roman" w:hAnsi="Times New Roman"/>
          <w:b/>
          <w:sz w:val="28"/>
          <w:szCs w:val="28"/>
        </w:rPr>
      </w:pPr>
      <w:r w:rsidRPr="00016B28">
        <w:rPr>
          <w:rFonts w:ascii="Times New Roman" w:hAnsi="Times New Roman"/>
          <w:sz w:val="28"/>
          <w:szCs w:val="28"/>
        </w:rPr>
        <w:t xml:space="preserve">Юлія Самусь, спеціалістка з комунікацій, ПРООН в Україні, +38 097 139 14 75, </w:t>
      </w:r>
      <w:r w:rsidRPr="00016B28">
        <w:rPr>
          <w:rFonts w:ascii="Times New Roman" w:hAnsi="Times New Roman"/>
          <w:b/>
          <w:sz w:val="28"/>
          <w:szCs w:val="28"/>
        </w:rPr>
        <w:t>yuliia.samus@undp.org</w:t>
      </w:r>
    </w:p>
    <w:p w:rsidR="003F00C4" w:rsidRDefault="003F00C4" w:rsidP="00C20501">
      <w:pPr>
        <w:spacing w:line="259" w:lineRule="auto"/>
        <w:jc w:val="both"/>
        <w:rPr>
          <w:rFonts w:ascii="Times New Roman" w:hAnsi="Times New Roman"/>
          <w:b/>
          <w:sz w:val="28"/>
          <w:szCs w:val="28"/>
        </w:rPr>
      </w:pPr>
    </w:p>
    <w:p w:rsidR="002F4428" w:rsidRDefault="002F4428" w:rsidP="002E46E0">
      <w:pPr>
        <w:spacing w:line="259" w:lineRule="auto"/>
        <w:jc w:val="both"/>
        <w:rPr>
          <w:rFonts w:ascii="Times New Roman" w:hAnsi="Times New Roman"/>
          <w:b/>
          <w:sz w:val="28"/>
          <w:szCs w:val="28"/>
        </w:rPr>
      </w:pPr>
      <w:bookmarkStart w:id="0" w:name="_GoBack"/>
      <w:bookmarkEnd w:id="0"/>
    </w:p>
    <w:p w:rsidR="005C587E" w:rsidRPr="005C587E" w:rsidRDefault="005C587E" w:rsidP="005C587E">
      <w:pPr>
        <w:jc w:val="right"/>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 xml:space="preserve">Додаток </w:t>
      </w:r>
      <w:r w:rsidR="00715F82">
        <w:rPr>
          <w:rFonts w:ascii="Times New Roman" w:eastAsia="Times New Roman" w:hAnsi="Times New Roman"/>
          <w:sz w:val="26"/>
          <w:szCs w:val="20"/>
          <w:lang w:val="ru-RU" w:eastAsia="ru-RU"/>
        </w:rPr>
        <w:t>1</w:t>
      </w:r>
      <w:r w:rsidRPr="005C587E">
        <w:rPr>
          <w:rFonts w:ascii="Times New Roman" w:eastAsia="Times New Roman" w:hAnsi="Times New Roman"/>
          <w:sz w:val="26"/>
          <w:szCs w:val="20"/>
          <w:lang w:val="ru-RU" w:eastAsia="ru-RU"/>
        </w:rPr>
        <w:t xml:space="preserve"> </w:t>
      </w:r>
    </w:p>
    <w:p w:rsidR="005C587E" w:rsidRDefault="005C587E" w:rsidP="005C587E">
      <w:pPr>
        <w:jc w:val="center"/>
        <w:rPr>
          <w:rFonts w:ascii="Times New Roman" w:eastAsia="Times New Roman" w:hAnsi="Times New Roman"/>
          <w:b/>
          <w:sz w:val="26"/>
          <w:szCs w:val="28"/>
          <w:lang w:eastAsia="ru-RU"/>
        </w:rPr>
      </w:pPr>
    </w:p>
    <w:p w:rsidR="005C587E" w:rsidRPr="005C587E" w:rsidRDefault="005C587E" w:rsidP="005C587E">
      <w:pPr>
        <w:jc w:val="center"/>
        <w:rPr>
          <w:rFonts w:ascii="Times New Roman" w:eastAsia="Times New Roman" w:hAnsi="Times New Roman"/>
          <w:b/>
          <w:sz w:val="26"/>
          <w:szCs w:val="28"/>
          <w:lang w:eastAsia="ru-RU"/>
        </w:rPr>
      </w:pPr>
      <w:r w:rsidRPr="005C587E">
        <w:rPr>
          <w:rFonts w:ascii="Times New Roman" w:eastAsia="Times New Roman" w:hAnsi="Times New Roman"/>
          <w:b/>
          <w:sz w:val="26"/>
          <w:szCs w:val="28"/>
          <w:lang w:eastAsia="ru-RU"/>
        </w:rPr>
        <w:t>Програма грантової підтримки ЕБРР для МСБ</w:t>
      </w:r>
    </w:p>
    <w:p w:rsidR="005C587E" w:rsidRPr="005C587E" w:rsidRDefault="005C587E" w:rsidP="005C587E">
      <w:pPr>
        <w:jc w:val="right"/>
        <w:rPr>
          <w:rFonts w:ascii="Times New Roman" w:eastAsia="Times New Roman" w:hAnsi="Times New Roman"/>
          <w:sz w:val="26"/>
          <w:szCs w:val="28"/>
          <w:lang w:eastAsia="ru-RU"/>
        </w:rPr>
      </w:pPr>
    </w:p>
    <w:p w:rsidR="005C587E" w:rsidRPr="005C587E" w:rsidRDefault="005C587E" w:rsidP="005C587E">
      <w:pPr>
        <w:shd w:val="clear" w:color="auto" w:fill="FFFFFF"/>
        <w:ind w:firstLine="567"/>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Грантова програма консалтингових проектів ЄБРР розроблена для того, щоб надати малому та середньому бізнесу унікальну можливість для розвитку шляхом залучення кваліфікованих та досвідчених консультантів на умовах часткової компенсації вартості проекту.</w:t>
      </w:r>
    </w:p>
    <w:p w:rsidR="005C587E" w:rsidRPr="005C587E" w:rsidRDefault="005C587E" w:rsidP="005C587E">
      <w:pPr>
        <w:shd w:val="clear" w:color="auto" w:fill="FFFFFF"/>
        <w:ind w:firstLine="567"/>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Роки успішної реалізації Програми на прикладах демонструють, як консалтингові проекти, які допомагають бізнесу отримати інструменти, навички і знання, необхідні для масштабування бізнесу, залучення фінансування, виходу на зовнішні ринки тощо.  </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Ми допомагаємо:</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sz w:val="26"/>
          <w:szCs w:val="28"/>
          <w:lang w:eastAsia="ru-RU"/>
        </w:rPr>
        <w:t>1) </w:t>
      </w:r>
      <w:r w:rsidRPr="005C587E">
        <w:rPr>
          <w:rFonts w:ascii="Times New Roman" w:eastAsia="Times New Roman" w:hAnsi="Times New Roman"/>
          <w:iCs/>
          <w:sz w:val="26"/>
          <w:szCs w:val="28"/>
          <w:lang w:eastAsia="ru-RU"/>
        </w:rPr>
        <w:t>Провести Вам загальну попередню бізнес-діагностику на першій зустрічі з аналітиком ЄБРР</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iCs/>
          <w:sz w:val="26"/>
          <w:szCs w:val="28"/>
          <w:lang w:eastAsia="ru-RU"/>
        </w:rPr>
        <w:t>2) Залучити професійних консультантів та в подальшому використати їхні знання та інструменти для розвитку Вашого бізнесу</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iCs/>
          <w:sz w:val="26"/>
          <w:szCs w:val="28"/>
          <w:lang w:eastAsia="ru-RU"/>
        </w:rPr>
        <w:t>3) Надаємо супровід проекту від самого початку до його завершення</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iCs/>
          <w:sz w:val="26"/>
          <w:szCs w:val="28"/>
          <w:lang w:eastAsia="ru-RU"/>
        </w:rPr>
        <w:t>4) Компенсуємо частину вартості проекту (від 50% від вартості проекту, для проектів з енергоефективності компенсація становить 75%)</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iCs/>
          <w:sz w:val="26"/>
          <w:szCs w:val="28"/>
          <w:lang w:eastAsia="ru-RU"/>
        </w:rPr>
        <w:t>5) Знижуємо ризик невдалого проекту.</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b/>
          <w:bCs/>
          <w:sz w:val="26"/>
          <w:szCs w:val="28"/>
          <w:lang w:eastAsia="ru-RU"/>
        </w:rPr>
        <w:t>Напрямки консалтингового проекту:</w:t>
      </w:r>
      <w:r w:rsidRPr="005C587E">
        <w:rPr>
          <w:rFonts w:ascii="Times New Roman" w:eastAsia="Times New Roman" w:hAnsi="Times New Roman"/>
          <w:sz w:val="26"/>
          <w:szCs w:val="28"/>
          <w:lang w:eastAsia="ru-RU"/>
        </w:rPr>
        <w:t xml:space="preserve"> </w:t>
      </w:r>
      <w:r w:rsidRPr="005C587E">
        <w:rPr>
          <w:rFonts w:ascii="Times New Roman" w:eastAsia="Times New Roman" w:hAnsi="Times New Roman"/>
          <w:bCs/>
          <w:iCs/>
          <w:sz w:val="26"/>
          <w:szCs w:val="28"/>
          <w:lang w:eastAsia="ru-RU"/>
        </w:rPr>
        <w:t xml:space="preserve">інформаційні технології, системи якості, стратегія, маркетинг, організаційне консультування, операційна ефективність, </w:t>
      </w:r>
      <w:r w:rsidRPr="00FD66B7">
        <w:rPr>
          <w:rFonts w:ascii="Times New Roman" w:eastAsia="Times New Roman" w:hAnsi="Times New Roman"/>
          <w:bCs/>
          <w:iCs/>
          <w:sz w:val="26"/>
          <w:szCs w:val="28"/>
          <w:highlight w:val="yellow"/>
          <w:lang w:eastAsia="ru-RU"/>
        </w:rPr>
        <w:t>інженерні рішення</w:t>
      </w:r>
      <w:r w:rsidRPr="005C587E">
        <w:rPr>
          <w:rFonts w:ascii="Times New Roman" w:eastAsia="Times New Roman" w:hAnsi="Times New Roman"/>
          <w:bCs/>
          <w:iCs/>
          <w:sz w:val="26"/>
          <w:szCs w:val="28"/>
          <w:lang w:eastAsia="ru-RU"/>
        </w:rPr>
        <w:t>, енергоефективність, управління фінансами.</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lastRenderedPageBreak/>
        <w:t>Вимоги до бізнесу, що може отримати грант на консалтинговий проект:</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 xml:space="preserve">- </w:t>
      </w:r>
      <w:r w:rsidRPr="005C587E">
        <w:rPr>
          <w:rFonts w:ascii="Times New Roman" w:eastAsia="Times New Roman" w:hAnsi="Times New Roman"/>
          <w:bCs/>
          <w:iCs/>
          <w:sz w:val="26"/>
          <w:szCs w:val="28"/>
          <w:lang w:eastAsia="ru-RU"/>
        </w:rPr>
        <w:t>більше 2-х років на ринку</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більше 50% компанії належить громадянам України</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xml:space="preserve">- </w:t>
      </w:r>
      <w:r w:rsidRPr="00FD66B7">
        <w:rPr>
          <w:rFonts w:ascii="Times New Roman" w:eastAsia="Times New Roman" w:hAnsi="Times New Roman"/>
          <w:bCs/>
          <w:iCs/>
          <w:sz w:val="26"/>
          <w:szCs w:val="28"/>
          <w:highlight w:val="yellow"/>
          <w:lang w:eastAsia="ru-RU"/>
        </w:rPr>
        <w:t>від 10 до 250 співробітників у штаті компанії</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потенціал для розвитку, наявність конкурентних переваг</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гарна ділова репутація власників</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потреба у залученні консультанта</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Перелік необхідних документів:</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анкети-заявки за підписом директора компанії;</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виписки з державного реєстру компаній або електронної виписки з державного реєстру за підписом директора компанії 2016-2017 рр.;</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річних фінансових звітів (форми 1 та 2) за останні два роки, завірені печаткою держоргану про їх отримання або із електронними квитанціями</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Про отримання звітів держорганом, що подавались в електронному виді (для ФОП- річні податкові накладні так само завірені);</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статуту компанії (або копії всіх сторінок паспорту для ФОП);</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PDF звіт, який надсилається Вашій компанії по результатам проходження опитувальника Busniess Lens</w:t>
      </w:r>
      <w:r w:rsidRPr="005C587E">
        <w:rPr>
          <w:rFonts w:ascii="Times New Roman" w:eastAsia="Times New Roman" w:hAnsi="Times New Roman"/>
          <w:sz w:val="26"/>
          <w:szCs w:val="28"/>
          <w:lang w:eastAsia="ru-RU"/>
        </w:rPr>
        <w:t> </w:t>
      </w:r>
      <w:r w:rsidRPr="005C587E">
        <w:rPr>
          <w:rFonts w:ascii="Times New Roman" w:eastAsia="Times New Roman" w:hAnsi="Times New Roman"/>
          <w:bCs/>
          <w:iCs/>
          <w:sz w:val="26"/>
          <w:szCs w:val="28"/>
          <w:lang w:eastAsia="ru-RU"/>
        </w:rPr>
        <w:t>за підписом керівника</w:t>
      </w:r>
      <w:r w:rsidRPr="005C587E">
        <w:rPr>
          <w:rFonts w:ascii="Times New Roman" w:eastAsia="Times New Roman" w:hAnsi="Times New Roman"/>
          <w:sz w:val="26"/>
          <w:szCs w:val="28"/>
          <w:lang w:eastAsia="ru-RU"/>
        </w:rPr>
        <w:t>(</w:t>
      </w:r>
      <w:hyperlink r:id="rId7" w:tgtFrame="_blank" w:history="1">
        <w:r w:rsidRPr="005C587E">
          <w:rPr>
            <w:rFonts w:ascii="Times New Roman" w:eastAsia="Times New Roman" w:hAnsi="Times New Roman"/>
            <w:sz w:val="26"/>
            <w:szCs w:val="28"/>
            <w:u w:val="single"/>
            <w:lang w:eastAsia="ru-RU"/>
          </w:rPr>
          <w:t>http://ebrdbusinesslens.com/</w:t>
        </w:r>
      </w:hyperlink>
      <w:r w:rsidRPr="005C587E">
        <w:rPr>
          <w:rFonts w:ascii="Times New Roman" w:eastAsia="Times New Roman" w:hAnsi="Times New Roman"/>
          <w:sz w:val="26"/>
          <w:szCs w:val="28"/>
          <w:lang w:eastAsia="ru-RU"/>
        </w:rPr>
        <w:t>) .</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Прохання також заповнити короткий відгук стосовно корисності даного інструменту -</w:t>
      </w:r>
      <w:r w:rsidRPr="005C587E">
        <w:rPr>
          <w:rFonts w:ascii="Times New Roman" w:eastAsia="Times New Roman" w:hAnsi="Times New Roman"/>
          <w:sz w:val="26"/>
          <w:szCs w:val="28"/>
          <w:lang w:eastAsia="ru-RU"/>
        </w:rPr>
        <w:t> </w:t>
      </w:r>
      <w:hyperlink r:id="rId8" w:tgtFrame="_blank" w:history="1">
        <w:r w:rsidRPr="005C587E">
          <w:rPr>
            <w:rFonts w:ascii="Times New Roman" w:eastAsia="Times New Roman" w:hAnsi="Times New Roman"/>
            <w:sz w:val="26"/>
            <w:szCs w:val="28"/>
            <w:u w:val="single"/>
            <w:lang w:eastAsia="ru-RU"/>
          </w:rPr>
          <w:t>https://form.jotformeu.com/71942332028351</w:t>
        </w:r>
      </w:hyperlink>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Кроки до старту консалтингового проекту:</w:t>
      </w:r>
    </w:p>
    <w:tbl>
      <w:tblPr>
        <w:tblW w:w="0" w:type="auto"/>
        <w:shd w:val="clear" w:color="auto" w:fill="FFFFFF"/>
        <w:tblCellMar>
          <w:left w:w="0" w:type="dxa"/>
          <w:right w:w="0" w:type="dxa"/>
        </w:tblCellMar>
        <w:tblLook w:val="04A0" w:firstRow="1" w:lastRow="0" w:firstColumn="1" w:lastColumn="0" w:noHBand="0" w:noVBand="1"/>
      </w:tblPr>
      <w:tblGrid>
        <w:gridCol w:w="559"/>
        <w:gridCol w:w="9017"/>
      </w:tblGrid>
      <w:tr w:rsidR="005C587E" w:rsidRPr="005C587E" w:rsidTr="005C587E">
        <w:tc>
          <w:tcPr>
            <w:tcW w:w="95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В середньому процес відбору учасників триває 2-4 тижні.</w:t>
            </w:r>
          </w:p>
        </w:tc>
      </w:tr>
      <w:tr w:rsidR="005C587E" w:rsidRPr="005C587E" w:rsidTr="005C587E">
        <w:trPr>
          <w:trHeight w:val="679"/>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1</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Заповнити анкету та надіслати, разом із необхідними документами, на електронні адреси </w:t>
            </w:r>
            <w:hyperlink r:id="rId9" w:tgtFrame="_blank" w:history="1">
              <w:r w:rsidRPr="005C587E">
                <w:rPr>
                  <w:rFonts w:ascii="Times New Roman" w:eastAsia="Times New Roman" w:hAnsi="Times New Roman"/>
                  <w:bCs/>
                  <w:sz w:val="26"/>
                  <w:szCs w:val="28"/>
                  <w:u w:val="single"/>
                  <w:lang w:eastAsia="ru-RU"/>
                </w:rPr>
                <w:t>knowhowukraine@ebrd.com</w:t>
              </w:r>
            </w:hyperlink>
            <w:r w:rsidRPr="005C587E">
              <w:rPr>
                <w:rFonts w:ascii="Times New Roman" w:eastAsia="Times New Roman" w:hAnsi="Times New Roman"/>
                <w:bCs/>
                <w:sz w:val="26"/>
                <w:szCs w:val="28"/>
                <w:u w:val="single"/>
                <w:lang w:eastAsia="ru-RU"/>
              </w:rPr>
              <w:t> </w:t>
            </w:r>
            <w:r w:rsidRPr="005C587E">
              <w:rPr>
                <w:rFonts w:ascii="Times New Roman" w:eastAsia="Times New Roman" w:hAnsi="Times New Roman"/>
                <w:sz w:val="26"/>
                <w:szCs w:val="28"/>
                <w:lang w:eastAsia="ru-RU"/>
              </w:rPr>
              <w:t>та</w:t>
            </w:r>
            <w:r w:rsidRPr="005C587E">
              <w:rPr>
                <w:rFonts w:ascii="Times New Roman" w:eastAsia="Times New Roman" w:hAnsi="Times New Roman"/>
                <w:bCs/>
                <w:sz w:val="26"/>
                <w:szCs w:val="28"/>
                <w:u w:val="single"/>
                <w:lang w:eastAsia="ru-RU"/>
              </w:rPr>
              <w:t> </w:t>
            </w:r>
            <w:hyperlink r:id="rId10" w:tgtFrame="_blank" w:history="1">
              <w:r w:rsidRPr="005C587E">
                <w:rPr>
                  <w:rFonts w:ascii="Times New Roman" w:eastAsia="Times New Roman" w:hAnsi="Times New Roman"/>
                  <w:bCs/>
                  <w:sz w:val="26"/>
                  <w:szCs w:val="28"/>
                  <w:u w:val="single"/>
                  <w:lang w:eastAsia="ru-RU"/>
                </w:rPr>
                <w:t>khalilot@ebrd.com</w:t>
              </w:r>
            </w:hyperlink>
          </w:p>
        </w:tc>
      </w:tr>
      <w:tr w:rsidR="005C587E" w:rsidRPr="005C587E" w:rsidTr="005C587E">
        <w:trPr>
          <w:trHeight w:val="375"/>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2</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Перевірка комплектності наданих документів ЄБРР (2-5 робочі днів).</w:t>
            </w:r>
          </w:p>
        </w:tc>
      </w:tr>
      <w:tr w:rsidR="005C587E" w:rsidRPr="005C587E" w:rsidTr="005C587E">
        <w:trPr>
          <w:trHeight w:val="723"/>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3</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Зустріч представників ЄБРР з менеджментом та/або власниками компанії.</w:t>
            </w:r>
          </w:p>
        </w:tc>
      </w:tr>
      <w:tr w:rsidR="005C587E" w:rsidRPr="005C587E" w:rsidTr="005C587E">
        <w:trPr>
          <w:trHeight w:val="421"/>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4</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Затвердження підприємства на участь у програмі.</w:t>
            </w:r>
          </w:p>
        </w:tc>
      </w:tr>
      <w:tr w:rsidR="005C587E" w:rsidRPr="005C587E" w:rsidTr="005C587E">
        <w:trPr>
          <w:trHeight w:val="413"/>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5</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Донесення рішення до компанії, що подала заявку. </w:t>
            </w:r>
          </w:p>
        </w:tc>
      </w:tr>
    </w:tbl>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Вибір консультанта</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Консалтингові послуги надаються консультантами, які п</w:t>
      </w:r>
      <w:r>
        <w:rPr>
          <w:rFonts w:ascii="Times New Roman" w:eastAsia="Times New Roman" w:hAnsi="Times New Roman"/>
          <w:sz w:val="26"/>
          <w:szCs w:val="28"/>
          <w:lang w:eastAsia="ru-RU"/>
        </w:rPr>
        <w:t>е</w:t>
      </w:r>
      <w:r w:rsidRPr="005C587E">
        <w:rPr>
          <w:rFonts w:ascii="Times New Roman" w:eastAsia="Times New Roman" w:hAnsi="Times New Roman"/>
          <w:sz w:val="26"/>
          <w:szCs w:val="28"/>
          <w:lang w:eastAsia="ru-RU"/>
        </w:rPr>
        <w:t>рекваліфіковані згідно процедур ЄБРР. Відбір консультанта відбувається через процедури міні-тендеру. Клієнт обирає консультанта серед трьох кандидатів, запропонованих ЄБРР.</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Клієнт також може самостійно пропонувати консультанта, але якщо цей консультант не має статусу пре-кваліфікованого в ЄБРР, йому необхідно пройти цю процедуру перед початком проекту.</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 </w:t>
      </w:r>
    </w:p>
    <w:p w:rsidR="005C587E" w:rsidRPr="005C587E" w:rsidRDefault="005C587E" w:rsidP="005C587E">
      <w:pPr>
        <w:spacing w:after="160" w:line="256" w:lineRule="auto"/>
        <w:jc w:val="both"/>
        <w:rPr>
          <w:sz w:val="26"/>
        </w:rPr>
      </w:pPr>
    </w:p>
    <w:p w:rsidR="002F4428" w:rsidRDefault="002F4428" w:rsidP="002E46E0">
      <w:pPr>
        <w:spacing w:line="259" w:lineRule="auto"/>
        <w:jc w:val="both"/>
        <w:rPr>
          <w:rFonts w:ascii="Times New Roman" w:hAnsi="Times New Roman"/>
          <w:b/>
          <w:sz w:val="28"/>
          <w:szCs w:val="28"/>
        </w:rPr>
      </w:pPr>
    </w:p>
    <w:p w:rsidR="002F4428" w:rsidRDefault="002F4428" w:rsidP="002E46E0">
      <w:pPr>
        <w:spacing w:line="259" w:lineRule="auto"/>
        <w:jc w:val="both"/>
        <w:rPr>
          <w:rFonts w:ascii="Times New Roman" w:hAnsi="Times New Roman"/>
          <w:sz w:val="24"/>
          <w:szCs w:val="24"/>
        </w:rPr>
      </w:pPr>
    </w:p>
    <w:p w:rsidR="002166BE" w:rsidRDefault="002166BE"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B426E6" w:rsidRDefault="00B426E6" w:rsidP="003505B4">
      <w:pPr>
        <w:spacing w:line="259" w:lineRule="auto"/>
        <w:rPr>
          <w:rFonts w:ascii="Times New Roman" w:hAnsi="Times New Roman"/>
          <w:sz w:val="24"/>
          <w:szCs w:val="24"/>
        </w:rPr>
      </w:pPr>
    </w:p>
    <w:p w:rsidR="005C587E" w:rsidRDefault="005C587E" w:rsidP="005C587E">
      <w:pPr>
        <w:jc w:val="right"/>
        <w:rPr>
          <w:rFonts w:ascii="Times New Roman" w:eastAsia="Times New Roman" w:hAnsi="Times New Roman"/>
          <w:sz w:val="26"/>
          <w:szCs w:val="20"/>
          <w:lang w:val="ru-RU" w:eastAsia="ru-RU"/>
        </w:rPr>
      </w:pPr>
    </w:p>
    <w:p w:rsidR="005C587E" w:rsidRPr="005C587E" w:rsidRDefault="005C587E" w:rsidP="005C587E">
      <w:pPr>
        <w:jc w:val="right"/>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 xml:space="preserve">Додаток </w:t>
      </w:r>
      <w:r w:rsidRPr="00715F82">
        <w:rPr>
          <w:rFonts w:ascii="Times New Roman" w:eastAsia="Times New Roman" w:hAnsi="Times New Roman"/>
          <w:sz w:val="26"/>
          <w:szCs w:val="20"/>
          <w:lang w:val="ru-RU" w:eastAsia="ru-RU"/>
        </w:rPr>
        <w:t>2</w:t>
      </w:r>
      <w:r w:rsidRPr="005C587E">
        <w:rPr>
          <w:rFonts w:ascii="Times New Roman" w:eastAsia="Times New Roman" w:hAnsi="Times New Roman"/>
          <w:sz w:val="26"/>
          <w:szCs w:val="20"/>
          <w:lang w:val="ru-RU" w:eastAsia="ru-RU"/>
        </w:rPr>
        <w:t xml:space="preserve"> </w:t>
      </w:r>
    </w:p>
    <w:p w:rsidR="005C587E" w:rsidRPr="005C587E" w:rsidRDefault="005C587E" w:rsidP="005C587E">
      <w:pPr>
        <w:jc w:val="right"/>
        <w:rPr>
          <w:rFonts w:ascii="Times New Roman" w:eastAsia="Times New Roman" w:hAnsi="Times New Roman"/>
          <w:b/>
          <w:sz w:val="26"/>
          <w:szCs w:val="20"/>
          <w:lang w:val="ru-RU" w:eastAsia="ru-RU"/>
        </w:rPr>
      </w:pPr>
    </w:p>
    <w:p w:rsidR="005C587E" w:rsidRPr="005C587E" w:rsidRDefault="005C587E" w:rsidP="005C587E">
      <w:pPr>
        <w:jc w:val="center"/>
        <w:rPr>
          <w:rFonts w:ascii="Times New Roman" w:eastAsia="Times New Roman" w:hAnsi="Times New Roman"/>
          <w:b/>
          <w:sz w:val="26"/>
          <w:szCs w:val="20"/>
          <w:lang w:val="ru-RU" w:eastAsia="ru-RU"/>
        </w:rPr>
      </w:pPr>
      <w:r w:rsidRPr="005C587E">
        <w:rPr>
          <w:rFonts w:ascii="Times New Roman" w:eastAsia="Times New Roman" w:hAnsi="Times New Roman"/>
          <w:b/>
          <w:sz w:val="26"/>
          <w:szCs w:val="20"/>
          <w:lang w:val="ru-RU" w:eastAsia="ru-RU"/>
        </w:rPr>
        <w:t xml:space="preserve">Программа </w:t>
      </w:r>
      <w:r w:rsidRPr="005C587E">
        <w:rPr>
          <w:rFonts w:ascii="Times New Roman" w:eastAsia="Times New Roman" w:hAnsi="Times New Roman"/>
          <w:b/>
          <w:sz w:val="26"/>
          <w:szCs w:val="20"/>
          <w:lang w:eastAsia="ru-RU"/>
        </w:rPr>
        <w:t>фінансової підтримки ЕБРР для МСБ</w:t>
      </w:r>
      <w:r w:rsidRPr="005C587E">
        <w:rPr>
          <w:rFonts w:ascii="Times New Roman" w:eastAsia="Times New Roman" w:hAnsi="Times New Roman"/>
          <w:b/>
          <w:sz w:val="26"/>
          <w:szCs w:val="20"/>
          <w:lang w:val="ru-RU" w:eastAsia="ru-RU"/>
        </w:rPr>
        <w:t xml:space="preserve"> </w:t>
      </w:r>
    </w:p>
    <w:p w:rsidR="005C587E" w:rsidRPr="005C587E" w:rsidRDefault="005C587E" w:rsidP="005C587E">
      <w:pPr>
        <w:rPr>
          <w:rFonts w:ascii="Times New Roman" w:eastAsia="Times New Roman" w:hAnsi="Times New Roman"/>
          <w:sz w:val="26"/>
          <w:szCs w:val="20"/>
          <w:lang w:val="ru-RU" w:eastAsia="ru-RU"/>
        </w:rPr>
      </w:pP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46"/>
        <w:gridCol w:w="7762"/>
      </w:tblGrid>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розмір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eastAsia="ru-RU"/>
              </w:rPr>
            </w:pPr>
            <w:r w:rsidRPr="005C587E">
              <w:rPr>
                <w:rFonts w:ascii="Times New Roman" w:eastAsia="Times New Roman" w:hAnsi="Times New Roman"/>
                <w:sz w:val="26"/>
                <w:szCs w:val="20"/>
                <w:lang w:eastAsia="ru-RU"/>
              </w:rPr>
              <w:t>від 1 млн. до 10 млн. євро (можливість і умови збільшення розміру фінансування обговорюються);</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ind w:left="-108"/>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Цільова форма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прямий кредит Банку, номінований у гривні, євро або дол. США (відсутність обмежень НБУ по виплаті</w:t>
            </w:r>
            <w:r w:rsidRPr="005C587E">
              <w:rPr>
                <w:rFonts w:ascii="Times New Roman" w:hAnsi="Times New Roman"/>
                <w:sz w:val="26"/>
                <w:szCs w:val="20"/>
              </w:rPr>
              <w:t xml:space="preserve"> </w:t>
            </w:r>
            <w:r w:rsidRPr="005C587E">
              <w:rPr>
                <w:rFonts w:ascii="Times New Roman" w:hAnsi="Times New Roman"/>
                <w:sz w:val="26"/>
                <w:szCs w:val="20"/>
                <w:lang w:val="ru-RU"/>
              </w:rPr>
              <w:t>% і повернення позики Банку);</w:t>
            </w:r>
          </w:p>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конвертація позики в капітал, або можливість вкладень в акціонерний капітал з часткою Банку до 35% обговорюється додатково;</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термін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від 3-х до 10 років (можливість збільшення терміну до 15 років обговорюється);</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термін структурування кредита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9-12 місяців (з моменту надання в Банк документації):</w:t>
            </w:r>
          </w:p>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проведення поглибленої фінансової, юридичної та технічної перевірки;</w:t>
            </w:r>
          </w:p>
          <w:p w:rsidR="005C587E" w:rsidRPr="005C587E" w:rsidRDefault="005C587E" w:rsidP="005C587E">
            <w:pPr>
              <w:contextualSpacing/>
              <w:jc w:val="both"/>
              <w:rPr>
                <w:rFonts w:ascii="Times New Roman" w:hAnsi="Times New Roman"/>
                <w:sz w:val="26"/>
                <w:szCs w:val="20"/>
                <w:lang w:val="ru-RU"/>
              </w:rPr>
            </w:pPr>
            <w:r w:rsidRPr="005C587E">
              <w:rPr>
                <w:rFonts w:ascii="Times New Roman" w:hAnsi="Times New Roman"/>
                <w:sz w:val="26"/>
                <w:szCs w:val="20"/>
                <w:lang w:val="ru-RU"/>
              </w:rPr>
              <w:t>структурування умов і видача кредиту;</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Цільова ставка</w:t>
            </w:r>
          </w:p>
          <w:p w:rsidR="005C587E" w:rsidRPr="005C587E" w:rsidRDefault="005C587E" w:rsidP="005C587E">
            <w:pPr>
              <w:rPr>
                <w:rFonts w:ascii="Times New Roman" w:eastAsia="Times New Roman" w:hAnsi="Times New Roman"/>
                <w:b/>
                <w:sz w:val="26"/>
                <w:szCs w:val="20"/>
                <w:lang w:val="ru-RU" w:eastAsia="ru-RU"/>
              </w:rPr>
            </w:pP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 xml:space="preserve">Міжбанківська ставка (Libor / Euribor для валюти) + ринкова премія за ризик (обговорюється, як плаваюча, так і фіксована </w:t>
            </w:r>
            <w:r w:rsidRPr="005C587E">
              <w:rPr>
                <w:rFonts w:ascii="Times New Roman" w:eastAsia="Times New Roman" w:hAnsi="Times New Roman"/>
                <w:sz w:val="26"/>
                <w:szCs w:val="20"/>
                <w:lang w:val="ru-RU" w:eastAsia="ru-RU"/>
              </w:rPr>
              <w:lastRenderedPageBreak/>
              <w:t>ставка);</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lastRenderedPageBreak/>
              <w:t xml:space="preserve">Забезпечення </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Застава активів (з урахуванням незалежної оцінки) в розмірі 1.5x до суми кредиту і корпоративних прав + інші форми забезпечення, що дозволяють знизити премію за ризик;</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val="ru-RU" w:eastAsia="ru-RU"/>
              </w:rPr>
              <w:t>Субс</w:t>
            </w:r>
            <w:r w:rsidRPr="005C587E">
              <w:rPr>
                <w:rFonts w:ascii="Times New Roman" w:eastAsia="Times New Roman" w:hAnsi="Times New Roman"/>
                <w:b/>
                <w:sz w:val="26"/>
                <w:szCs w:val="20"/>
                <w:lang w:eastAsia="ru-RU"/>
              </w:rPr>
              <w:t>идія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Банк не субсидує проекти і не надає пільги, але</w:t>
            </w:r>
            <w:r w:rsidRPr="005C587E">
              <w:rPr>
                <w:rFonts w:ascii="Times New Roman" w:hAnsi="Times New Roman"/>
                <w:sz w:val="26"/>
                <w:szCs w:val="20"/>
              </w:rPr>
              <w:t xml:space="preserve"> е</w:t>
            </w:r>
            <w:r w:rsidRPr="005C587E">
              <w:rPr>
                <w:rFonts w:ascii="Times New Roman" w:hAnsi="Times New Roman"/>
                <w:sz w:val="26"/>
                <w:szCs w:val="20"/>
                <w:lang w:val="ru-RU"/>
              </w:rPr>
              <w:t xml:space="preserve">фективна вартість фінансування може бути знижена за рахунок використання грантів, в т. ч. для проведення аудиту за МСФЗ, отримання кваліфікованих консультацій щодо реструктуризації корпоративного управління, впровадження технологій, розробки ТЕО </w:t>
            </w:r>
            <w:r w:rsidRPr="005C587E">
              <w:rPr>
                <w:rFonts w:ascii="Times New Roman" w:hAnsi="Times New Roman"/>
                <w:sz w:val="26"/>
                <w:szCs w:val="20"/>
              </w:rPr>
              <w:t>та</w:t>
            </w:r>
            <w:r w:rsidRPr="005C587E">
              <w:rPr>
                <w:rFonts w:ascii="Times New Roman" w:hAnsi="Times New Roman"/>
                <w:sz w:val="26"/>
                <w:szCs w:val="20"/>
                <w:lang w:val="ru-RU"/>
              </w:rPr>
              <w:t xml:space="preserve"> ін.;</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Вимоги</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eastAsia="ru-RU"/>
              </w:rPr>
              <w:t>-</w:t>
            </w:r>
            <w:r w:rsidRPr="005C587E">
              <w:rPr>
                <w:rFonts w:ascii="Times New Roman" w:eastAsia="Times New Roman" w:hAnsi="Times New Roman"/>
                <w:sz w:val="26"/>
                <w:szCs w:val="20"/>
                <w:lang w:val="ru-RU" w:eastAsia="ru-RU"/>
              </w:rPr>
              <w:t>EBITDA (за середнім курсом за період) від 1 млн євро;</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Сума всіх існуючих кредитів і планов</w:t>
            </w:r>
            <w:r w:rsidRPr="005C587E">
              <w:rPr>
                <w:rFonts w:ascii="Times New Roman" w:eastAsia="Times New Roman" w:hAnsi="Times New Roman"/>
                <w:sz w:val="26"/>
                <w:szCs w:val="20"/>
                <w:lang w:eastAsia="ru-RU"/>
              </w:rPr>
              <w:t>ої</w:t>
            </w:r>
            <w:r w:rsidRPr="005C587E">
              <w:rPr>
                <w:rFonts w:ascii="Times New Roman" w:eastAsia="Times New Roman" w:hAnsi="Times New Roman"/>
                <w:sz w:val="26"/>
                <w:szCs w:val="20"/>
                <w:lang w:val="ru-RU" w:eastAsia="ru-RU"/>
              </w:rPr>
              <w:t xml:space="preserve"> позики Банку не вище 2.5x фактичної EBITDA;</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eastAsia="ru-RU"/>
              </w:rPr>
              <w:t>-</w:t>
            </w:r>
            <w:r w:rsidRPr="005C587E">
              <w:rPr>
                <w:rFonts w:ascii="Times New Roman" w:eastAsia="Times New Roman" w:hAnsi="Times New Roman"/>
                <w:sz w:val="26"/>
                <w:szCs w:val="20"/>
                <w:lang w:val="ru-RU" w:eastAsia="ru-RU"/>
              </w:rPr>
              <w:t>Відповідність критеріям МCП:</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1. Кількість працівників (на повній ставці) - не вище 500 осіб;</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2.а. Річний обсяг реалізації підприємства / холдингу - не вище 50 млн євро за середнім курсом, або</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2.</w:t>
            </w:r>
            <w:r w:rsidRPr="005C587E">
              <w:rPr>
                <w:rFonts w:ascii="Times New Roman" w:eastAsia="Times New Roman" w:hAnsi="Times New Roman"/>
                <w:sz w:val="26"/>
                <w:szCs w:val="20"/>
                <w:lang w:eastAsia="ru-RU"/>
              </w:rPr>
              <w:t>б</w:t>
            </w:r>
            <w:r w:rsidRPr="005C587E">
              <w:rPr>
                <w:rFonts w:ascii="Times New Roman" w:eastAsia="Times New Roman" w:hAnsi="Times New Roman"/>
                <w:sz w:val="26"/>
                <w:szCs w:val="20"/>
                <w:lang w:val="ru-RU" w:eastAsia="ru-RU"/>
              </w:rPr>
              <w:t>. Обсяг активів підприємства / холдингу - не вище 43 млн євро за курсом на звітну дату;</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Цільове використання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Придбання підприємств, розширення, інновації, підвищення конкурентоспроможності, експортного потенціалу, ефективності (в т.ч. енергоефективності);</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 xml:space="preserve"> С</w:t>
            </w:r>
            <w:r w:rsidRPr="005C587E">
              <w:rPr>
                <w:rFonts w:ascii="Times New Roman" w:hAnsi="Times New Roman"/>
                <w:sz w:val="26"/>
                <w:szCs w:val="20"/>
              </w:rPr>
              <w:t>уворо</w:t>
            </w:r>
            <w:r w:rsidRPr="005C587E">
              <w:rPr>
                <w:rFonts w:ascii="Times New Roman" w:hAnsi="Times New Roman"/>
                <w:sz w:val="26"/>
                <w:szCs w:val="20"/>
                <w:lang w:val="ru-RU"/>
              </w:rPr>
              <w:t xml:space="preserve"> контролюється Банком на всіх етапах фінансування;</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 xml:space="preserve"> Банк не надає кошти для цілей рефінансування існуючих кредитів;</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Умови співробітництва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На момент схвалення кредиту наявність прозорої структури володіння і управління (пропонується консультаційна допомога);</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Наявність аудиту фінансової звітності за системою МСФЗ, або готовність до проведення аудиту (пропонується консультаційна допомога);</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Дотримання принципів екологічної та соціальної відповідальності;</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Переваги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Канікули на виплату тіла кредиту (1-2 року обговорюються);</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 xml:space="preserve">Підтримка Банку по залученню необхідних експертиз для успішної реалізації проекту (в т.ч. гранти ЄС на кваліфіковані консультації щодо виходу на ринки ЄС, впровадження передових технологій, аудит за МСФЗ, технічний аудит, юр. </w:t>
            </w:r>
            <w:r w:rsidRPr="005C587E">
              <w:rPr>
                <w:rFonts w:ascii="Times New Roman" w:hAnsi="Times New Roman"/>
                <w:sz w:val="26"/>
                <w:szCs w:val="20"/>
              </w:rPr>
              <w:t>п</w:t>
            </w:r>
            <w:r w:rsidRPr="005C587E">
              <w:rPr>
                <w:rFonts w:ascii="Times New Roman" w:hAnsi="Times New Roman"/>
                <w:sz w:val="26"/>
                <w:szCs w:val="20"/>
                <w:lang w:val="ru-RU"/>
              </w:rPr>
              <w:t>ослуги і т.д.);</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Можливість збільшення розміру фінансування Банку / партнерських міжнародних фінансових організацій, у міру зростання підприємства;</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 xml:space="preserve">Підтримка державних органів управління завдяки репутації </w:t>
            </w:r>
            <w:r w:rsidRPr="005C587E">
              <w:rPr>
                <w:rFonts w:ascii="Times New Roman" w:hAnsi="Times New Roman"/>
                <w:sz w:val="26"/>
                <w:szCs w:val="20"/>
                <w:lang w:val="ru-RU"/>
              </w:rPr>
              <w:lastRenderedPageBreak/>
              <w:t>та місії Банку.</w:t>
            </w:r>
          </w:p>
        </w:tc>
      </w:tr>
    </w:tbl>
    <w:p w:rsidR="005C587E" w:rsidRPr="005C587E" w:rsidRDefault="005C587E" w:rsidP="005C587E">
      <w:pPr>
        <w:rPr>
          <w:rFonts w:ascii="Times New Roman" w:eastAsia="Times New Roman" w:hAnsi="Times New Roman"/>
          <w:sz w:val="26"/>
          <w:szCs w:val="20"/>
          <w:lang w:val="ru-RU" w:eastAsia="ru-RU"/>
        </w:rPr>
      </w:pPr>
    </w:p>
    <w:p w:rsidR="005C587E" w:rsidRPr="005C587E" w:rsidRDefault="005C587E" w:rsidP="005C587E">
      <w:pPr>
        <w:rPr>
          <w:rFonts w:ascii="Times New Roman" w:eastAsia="Times New Roman" w:hAnsi="Times New Roman"/>
          <w:sz w:val="26"/>
          <w:szCs w:val="28"/>
          <w:lang w:eastAsia="ru-RU"/>
        </w:rPr>
      </w:pPr>
    </w:p>
    <w:p w:rsidR="00B426E6" w:rsidRDefault="00B426E6" w:rsidP="003505B4">
      <w:pPr>
        <w:spacing w:line="259" w:lineRule="auto"/>
        <w:rPr>
          <w:rFonts w:ascii="Times New Roman" w:hAnsi="Times New Roman"/>
          <w:sz w:val="24"/>
          <w:szCs w:val="24"/>
        </w:rPr>
      </w:pPr>
    </w:p>
    <w:sectPr w:rsidR="00B426E6" w:rsidSect="00016B28">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D82" w:rsidRDefault="00D12D82" w:rsidP="00FB35B6">
      <w:r>
        <w:separator/>
      </w:r>
    </w:p>
  </w:endnote>
  <w:endnote w:type="continuationSeparator" w:id="0">
    <w:p w:rsidR="00D12D82" w:rsidRDefault="00D12D82" w:rsidP="00FB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D82" w:rsidRDefault="00D12D82" w:rsidP="00FB35B6">
      <w:r>
        <w:separator/>
      </w:r>
    </w:p>
  </w:footnote>
  <w:footnote w:type="continuationSeparator" w:id="0">
    <w:p w:rsidR="00D12D82" w:rsidRDefault="00D12D82" w:rsidP="00FB3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C6534"/>
    <w:multiLevelType w:val="hybridMultilevel"/>
    <w:tmpl w:val="3E56E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047F79"/>
    <w:multiLevelType w:val="hybridMultilevel"/>
    <w:tmpl w:val="56707CBA"/>
    <w:lvl w:ilvl="0" w:tplc="180872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7B"/>
    <w:rsid w:val="00002804"/>
    <w:rsid w:val="000068DC"/>
    <w:rsid w:val="00016A17"/>
    <w:rsid w:val="00016B28"/>
    <w:rsid w:val="0003124F"/>
    <w:rsid w:val="00031C06"/>
    <w:rsid w:val="00063F92"/>
    <w:rsid w:val="00081342"/>
    <w:rsid w:val="0009616F"/>
    <w:rsid w:val="000B6AD0"/>
    <w:rsid w:val="000C631D"/>
    <w:rsid w:val="000F1B18"/>
    <w:rsid w:val="001000F1"/>
    <w:rsid w:val="00165C94"/>
    <w:rsid w:val="0017573D"/>
    <w:rsid w:val="00184D45"/>
    <w:rsid w:val="00201816"/>
    <w:rsid w:val="00204262"/>
    <w:rsid w:val="00211161"/>
    <w:rsid w:val="002121EF"/>
    <w:rsid w:val="002166BE"/>
    <w:rsid w:val="00277663"/>
    <w:rsid w:val="002B52BB"/>
    <w:rsid w:val="002E06A3"/>
    <w:rsid w:val="002E46E0"/>
    <w:rsid w:val="002F4428"/>
    <w:rsid w:val="003013B4"/>
    <w:rsid w:val="003228A6"/>
    <w:rsid w:val="0032597E"/>
    <w:rsid w:val="003302CC"/>
    <w:rsid w:val="003505B4"/>
    <w:rsid w:val="00357FC3"/>
    <w:rsid w:val="00374270"/>
    <w:rsid w:val="003C2163"/>
    <w:rsid w:val="003E3958"/>
    <w:rsid w:val="003F00C4"/>
    <w:rsid w:val="00406F5B"/>
    <w:rsid w:val="00485894"/>
    <w:rsid w:val="004A446B"/>
    <w:rsid w:val="0050762F"/>
    <w:rsid w:val="0056134A"/>
    <w:rsid w:val="00593AFA"/>
    <w:rsid w:val="005A659E"/>
    <w:rsid w:val="005C587E"/>
    <w:rsid w:val="0060622A"/>
    <w:rsid w:val="006218F2"/>
    <w:rsid w:val="00653B02"/>
    <w:rsid w:val="006636CC"/>
    <w:rsid w:val="006733BA"/>
    <w:rsid w:val="006A110D"/>
    <w:rsid w:val="00715F82"/>
    <w:rsid w:val="0072162F"/>
    <w:rsid w:val="0072764D"/>
    <w:rsid w:val="00734193"/>
    <w:rsid w:val="007372BA"/>
    <w:rsid w:val="00767D19"/>
    <w:rsid w:val="00770F43"/>
    <w:rsid w:val="007761C7"/>
    <w:rsid w:val="00776855"/>
    <w:rsid w:val="007C1382"/>
    <w:rsid w:val="007C59D9"/>
    <w:rsid w:val="007C7BCA"/>
    <w:rsid w:val="007F48C2"/>
    <w:rsid w:val="008901BF"/>
    <w:rsid w:val="009102EA"/>
    <w:rsid w:val="00913738"/>
    <w:rsid w:val="00914650"/>
    <w:rsid w:val="00942A25"/>
    <w:rsid w:val="00983A98"/>
    <w:rsid w:val="00984F0C"/>
    <w:rsid w:val="009A5BFE"/>
    <w:rsid w:val="009E4A30"/>
    <w:rsid w:val="009F39B7"/>
    <w:rsid w:val="00A312BC"/>
    <w:rsid w:val="00A41BEF"/>
    <w:rsid w:val="00A707A6"/>
    <w:rsid w:val="00A738C3"/>
    <w:rsid w:val="00A95CA5"/>
    <w:rsid w:val="00AA2029"/>
    <w:rsid w:val="00AA2578"/>
    <w:rsid w:val="00AA5C86"/>
    <w:rsid w:val="00AD40BB"/>
    <w:rsid w:val="00B15088"/>
    <w:rsid w:val="00B426E6"/>
    <w:rsid w:val="00BD1742"/>
    <w:rsid w:val="00C01F6D"/>
    <w:rsid w:val="00C20501"/>
    <w:rsid w:val="00C227EC"/>
    <w:rsid w:val="00C527E3"/>
    <w:rsid w:val="00C635F3"/>
    <w:rsid w:val="00C73A48"/>
    <w:rsid w:val="00C73D72"/>
    <w:rsid w:val="00CA5B01"/>
    <w:rsid w:val="00CC22CE"/>
    <w:rsid w:val="00CF6C9C"/>
    <w:rsid w:val="00CF6D28"/>
    <w:rsid w:val="00D12D82"/>
    <w:rsid w:val="00D26E7D"/>
    <w:rsid w:val="00DB0F7B"/>
    <w:rsid w:val="00DD5EB8"/>
    <w:rsid w:val="00DE15AA"/>
    <w:rsid w:val="00E25BAE"/>
    <w:rsid w:val="00E50748"/>
    <w:rsid w:val="00E77022"/>
    <w:rsid w:val="00E806C2"/>
    <w:rsid w:val="00EF31D8"/>
    <w:rsid w:val="00F577AB"/>
    <w:rsid w:val="00FB35B6"/>
    <w:rsid w:val="00FB584B"/>
    <w:rsid w:val="00FD66B7"/>
    <w:rsid w:val="00FF5C3D"/>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D60E90-07AD-4EF7-BEE6-31290F75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6B"/>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52BB"/>
    <w:rPr>
      <w:rFonts w:cs="Times New Roman"/>
      <w:color w:val="0000FF"/>
      <w:u w:val="single"/>
    </w:rPr>
  </w:style>
  <w:style w:type="paragraph" w:styleId="a4">
    <w:name w:val="Balloon Text"/>
    <w:basedOn w:val="a"/>
    <w:link w:val="a5"/>
    <w:uiPriority w:val="99"/>
    <w:semiHidden/>
    <w:rsid w:val="00204262"/>
    <w:rPr>
      <w:rFonts w:ascii="Segoe UI" w:hAnsi="Segoe UI" w:cs="Segoe UI"/>
      <w:sz w:val="18"/>
      <w:szCs w:val="18"/>
    </w:rPr>
  </w:style>
  <w:style w:type="character" w:customStyle="1" w:styleId="a5">
    <w:name w:val="Текст выноски Знак"/>
    <w:link w:val="a4"/>
    <w:uiPriority w:val="99"/>
    <w:semiHidden/>
    <w:locked/>
    <w:rsid w:val="00204262"/>
    <w:rPr>
      <w:rFonts w:ascii="Segoe UI" w:hAnsi="Segoe UI" w:cs="Segoe UI"/>
      <w:sz w:val="18"/>
      <w:szCs w:val="18"/>
    </w:rPr>
  </w:style>
  <w:style w:type="character" w:styleId="a6">
    <w:name w:val="annotation reference"/>
    <w:uiPriority w:val="99"/>
    <w:semiHidden/>
    <w:rsid w:val="00AA2029"/>
    <w:rPr>
      <w:rFonts w:cs="Times New Roman"/>
      <w:sz w:val="16"/>
      <w:szCs w:val="16"/>
    </w:rPr>
  </w:style>
  <w:style w:type="paragraph" w:styleId="a7">
    <w:name w:val="annotation text"/>
    <w:basedOn w:val="a"/>
    <w:link w:val="a8"/>
    <w:uiPriority w:val="99"/>
    <w:semiHidden/>
    <w:rsid w:val="00AA2029"/>
    <w:rPr>
      <w:sz w:val="20"/>
      <w:szCs w:val="20"/>
    </w:rPr>
  </w:style>
  <w:style w:type="character" w:customStyle="1" w:styleId="a8">
    <w:name w:val="Текст примечания Знак"/>
    <w:link w:val="a7"/>
    <w:uiPriority w:val="99"/>
    <w:semiHidden/>
    <w:locked/>
    <w:rsid w:val="00AA2029"/>
    <w:rPr>
      <w:rFonts w:ascii="Calibri" w:hAnsi="Calibri" w:cs="Times New Roman"/>
      <w:sz w:val="20"/>
      <w:szCs w:val="20"/>
    </w:rPr>
  </w:style>
  <w:style w:type="paragraph" w:styleId="a9">
    <w:name w:val="annotation subject"/>
    <w:basedOn w:val="a7"/>
    <w:next w:val="a7"/>
    <w:link w:val="aa"/>
    <w:uiPriority w:val="99"/>
    <w:semiHidden/>
    <w:rsid w:val="00AA2029"/>
    <w:rPr>
      <w:b/>
      <w:bCs/>
    </w:rPr>
  </w:style>
  <w:style w:type="character" w:customStyle="1" w:styleId="aa">
    <w:name w:val="Тема примечания Знак"/>
    <w:link w:val="a9"/>
    <w:uiPriority w:val="99"/>
    <w:semiHidden/>
    <w:locked/>
    <w:rsid w:val="00AA2029"/>
    <w:rPr>
      <w:rFonts w:ascii="Calibri" w:hAnsi="Calibri" w:cs="Times New Roman"/>
      <w:b/>
      <w:bCs/>
      <w:sz w:val="20"/>
      <w:szCs w:val="20"/>
    </w:rPr>
  </w:style>
  <w:style w:type="paragraph" w:styleId="ab">
    <w:name w:val="header"/>
    <w:basedOn w:val="a"/>
    <w:link w:val="ac"/>
    <w:uiPriority w:val="99"/>
    <w:unhideWhenUsed/>
    <w:rsid w:val="00FB35B6"/>
    <w:pPr>
      <w:tabs>
        <w:tab w:val="center" w:pos="4677"/>
        <w:tab w:val="right" w:pos="9355"/>
      </w:tabs>
    </w:pPr>
  </w:style>
  <w:style w:type="character" w:customStyle="1" w:styleId="ac">
    <w:name w:val="Верхний колонтитул Знак"/>
    <w:link w:val="ab"/>
    <w:uiPriority w:val="99"/>
    <w:rsid w:val="00FB35B6"/>
    <w:rPr>
      <w:sz w:val="22"/>
      <w:szCs w:val="22"/>
      <w:lang w:val="uk-UA" w:eastAsia="en-US"/>
    </w:rPr>
  </w:style>
  <w:style w:type="paragraph" w:styleId="ad">
    <w:name w:val="footer"/>
    <w:basedOn w:val="a"/>
    <w:link w:val="ae"/>
    <w:uiPriority w:val="99"/>
    <w:unhideWhenUsed/>
    <w:rsid w:val="00FB35B6"/>
    <w:pPr>
      <w:tabs>
        <w:tab w:val="center" w:pos="4677"/>
        <w:tab w:val="right" w:pos="9355"/>
      </w:tabs>
    </w:pPr>
  </w:style>
  <w:style w:type="character" w:customStyle="1" w:styleId="ae">
    <w:name w:val="Нижний колонтитул Знак"/>
    <w:link w:val="ad"/>
    <w:uiPriority w:val="99"/>
    <w:rsid w:val="00FB35B6"/>
    <w:rPr>
      <w:sz w:val="22"/>
      <w:szCs w:val="22"/>
      <w:lang w:val="uk-UA" w:eastAsia="en-US"/>
    </w:rPr>
  </w:style>
  <w:style w:type="table" w:styleId="af">
    <w:name w:val="Table Grid"/>
    <w:basedOn w:val="a1"/>
    <w:locked/>
    <w:rsid w:val="0065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CA5B01"/>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308714">
      <w:marLeft w:val="0"/>
      <w:marRight w:val="0"/>
      <w:marTop w:val="0"/>
      <w:marBottom w:val="0"/>
      <w:divBdr>
        <w:top w:val="none" w:sz="0" w:space="0" w:color="auto"/>
        <w:left w:val="none" w:sz="0" w:space="0" w:color="auto"/>
        <w:bottom w:val="none" w:sz="0" w:space="0" w:color="auto"/>
        <w:right w:val="none" w:sz="0" w:space="0" w:color="auto"/>
      </w:divBdr>
    </w:div>
    <w:div w:id="1373308715">
      <w:marLeft w:val="0"/>
      <w:marRight w:val="0"/>
      <w:marTop w:val="0"/>
      <w:marBottom w:val="0"/>
      <w:divBdr>
        <w:top w:val="none" w:sz="0" w:space="0" w:color="auto"/>
        <w:left w:val="none" w:sz="0" w:space="0" w:color="auto"/>
        <w:bottom w:val="none" w:sz="0" w:space="0" w:color="auto"/>
        <w:right w:val="none" w:sz="0" w:space="0" w:color="auto"/>
      </w:divBdr>
    </w:div>
    <w:div w:id="1865168748">
      <w:bodyDiv w:val="1"/>
      <w:marLeft w:val="0"/>
      <w:marRight w:val="0"/>
      <w:marTop w:val="0"/>
      <w:marBottom w:val="0"/>
      <w:divBdr>
        <w:top w:val="none" w:sz="0" w:space="0" w:color="auto"/>
        <w:left w:val="none" w:sz="0" w:space="0" w:color="auto"/>
        <w:bottom w:val="none" w:sz="0" w:space="0" w:color="auto"/>
        <w:right w:val="none" w:sz="0" w:space="0" w:color="auto"/>
      </w:divBdr>
    </w:div>
    <w:div w:id="20337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eu.com/71942332028351" TargetMode="External"/><Relationship Id="rId3" Type="http://schemas.openxmlformats.org/officeDocument/2006/relationships/settings" Target="settings.xml"/><Relationship Id="rId7" Type="http://schemas.openxmlformats.org/officeDocument/2006/relationships/hyperlink" Target="http://ebrdbusinessle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halilot@ebrd.com" TargetMode="External"/><Relationship Id="rId4" Type="http://schemas.openxmlformats.org/officeDocument/2006/relationships/webSettings" Target="webSettings.xml"/><Relationship Id="rId9" Type="http://schemas.openxmlformats.org/officeDocument/2006/relationships/hyperlink" Target="mailto:knowhowukraine@eb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cp:revision>
  <cp:lastPrinted>2019-03-14T06:59:00Z</cp:lastPrinted>
  <dcterms:created xsi:type="dcterms:W3CDTF">2019-03-14T09:20:00Z</dcterms:created>
  <dcterms:modified xsi:type="dcterms:W3CDTF">2019-03-14T09:20:00Z</dcterms:modified>
</cp:coreProperties>
</file>