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4538"/>
        <w:gridCol w:w="4813"/>
        <w:gridCol w:w="222"/>
      </w:tblGrid>
      <w:tr w:rsidR="002F4428" w:rsidRPr="003228A6" w:rsidTr="003713B3">
        <w:trPr>
          <w:cantSplit/>
          <w:trHeight w:val="100"/>
          <w:jc w:val="center"/>
        </w:trPr>
        <w:tc>
          <w:tcPr>
            <w:tcW w:w="4538" w:type="dxa"/>
          </w:tcPr>
          <w:p w:rsidR="002F4428" w:rsidRPr="003228A6" w:rsidRDefault="002F4428" w:rsidP="003228A6">
            <w:pPr>
              <w:rPr>
                <w:rFonts w:ascii="Times New Roman" w:hAnsi="Times New Roman"/>
                <w:sz w:val="24"/>
                <w:szCs w:val="24"/>
                <w:lang w:eastAsia="ru-RU"/>
              </w:rPr>
            </w:pPr>
          </w:p>
        </w:tc>
        <w:tc>
          <w:tcPr>
            <w:tcW w:w="4813" w:type="dxa"/>
          </w:tcPr>
          <w:p w:rsidR="002F4428" w:rsidRPr="003228A6" w:rsidRDefault="002F4428" w:rsidP="003228A6">
            <w:pPr>
              <w:rPr>
                <w:rFonts w:ascii="Times New Roman" w:hAnsi="Times New Roman"/>
                <w:sz w:val="24"/>
                <w:szCs w:val="24"/>
                <w:lang w:eastAsia="ru-RU"/>
              </w:rPr>
            </w:pPr>
          </w:p>
        </w:tc>
        <w:tc>
          <w:tcPr>
            <w:tcW w:w="0" w:type="auto"/>
            <w:vAlign w:val="center"/>
          </w:tcPr>
          <w:p w:rsidR="002F4428" w:rsidRPr="003228A6" w:rsidRDefault="002F4428" w:rsidP="003228A6">
            <w:pPr>
              <w:rPr>
                <w:rFonts w:ascii="Times New Roman" w:hAnsi="Times New Roman"/>
                <w:sz w:val="28"/>
                <w:szCs w:val="28"/>
                <w:lang w:eastAsia="ru-RU"/>
              </w:rPr>
            </w:pPr>
          </w:p>
        </w:tc>
      </w:tr>
    </w:tbl>
    <w:p w:rsidR="00653B02" w:rsidRDefault="00653B02">
      <w:pPr>
        <w:spacing w:line="259" w:lineRule="auto"/>
        <w:rPr>
          <w:rFonts w:ascii="Times New Roman" w:hAnsi="Times New Roman"/>
          <w:sz w:val="28"/>
          <w:szCs w:val="28"/>
        </w:rPr>
      </w:pPr>
    </w:p>
    <w:p w:rsidR="00277663" w:rsidRDefault="009F39B7" w:rsidP="009F39B7">
      <w:pPr>
        <w:spacing w:line="259" w:lineRule="auto"/>
        <w:jc w:val="center"/>
        <w:rPr>
          <w:rFonts w:ascii="Times New Roman" w:hAnsi="Times New Roman"/>
          <w:b/>
          <w:i/>
          <w:sz w:val="28"/>
          <w:szCs w:val="28"/>
        </w:rPr>
      </w:pPr>
      <w:r>
        <w:rPr>
          <w:rFonts w:ascii="Times New Roman" w:hAnsi="Times New Roman"/>
          <w:b/>
          <w:i/>
          <w:sz w:val="28"/>
          <w:szCs w:val="28"/>
        </w:rPr>
        <w:t xml:space="preserve">Щодо </w:t>
      </w:r>
      <w:r w:rsidRPr="009F39B7">
        <w:rPr>
          <w:rFonts w:ascii="Times New Roman" w:hAnsi="Times New Roman"/>
          <w:b/>
          <w:i/>
          <w:sz w:val="28"/>
          <w:szCs w:val="28"/>
        </w:rPr>
        <w:t>можливої участі у програмах</w:t>
      </w:r>
      <w:r w:rsidRPr="009F39B7">
        <w:rPr>
          <w:rFonts w:ascii="Times New Roman" w:hAnsi="Times New Roman"/>
          <w:b/>
          <w:i/>
          <w:sz w:val="28"/>
          <w:szCs w:val="28"/>
          <w:lang w:val="ru-RU"/>
        </w:rPr>
        <w:t> </w:t>
      </w:r>
      <w:r w:rsidRPr="009F39B7">
        <w:rPr>
          <w:rFonts w:ascii="Times New Roman" w:hAnsi="Times New Roman"/>
          <w:b/>
          <w:i/>
          <w:sz w:val="28"/>
          <w:szCs w:val="28"/>
        </w:rPr>
        <w:t>грантової та фінансової підтримки</w:t>
      </w:r>
      <w:r w:rsidRPr="009F39B7">
        <w:rPr>
          <w:rFonts w:ascii="Times New Roman" w:hAnsi="Times New Roman"/>
          <w:b/>
          <w:i/>
          <w:sz w:val="28"/>
          <w:szCs w:val="28"/>
          <w:lang w:val="ru-RU"/>
        </w:rPr>
        <w:t> </w:t>
      </w:r>
      <w:r w:rsidRPr="009F39B7">
        <w:rPr>
          <w:rFonts w:ascii="Times New Roman" w:hAnsi="Times New Roman"/>
          <w:b/>
          <w:i/>
          <w:sz w:val="28"/>
          <w:szCs w:val="28"/>
        </w:rPr>
        <w:t>МСБ</w:t>
      </w:r>
    </w:p>
    <w:p w:rsidR="009F39B7" w:rsidRPr="009F39B7" w:rsidRDefault="009F39B7" w:rsidP="009F39B7">
      <w:pPr>
        <w:spacing w:line="259" w:lineRule="auto"/>
        <w:jc w:val="center"/>
        <w:rPr>
          <w:rFonts w:ascii="Times New Roman" w:hAnsi="Times New Roman"/>
          <w:b/>
          <w:i/>
          <w:sz w:val="28"/>
          <w:szCs w:val="28"/>
        </w:rPr>
      </w:pPr>
    </w:p>
    <w:p w:rsidR="00277663" w:rsidRPr="00277663" w:rsidRDefault="00277663" w:rsidP="009F39B7">
      <w:pPr>
        <w:spacing w:line="259" w:lineRule="auto"/>
        <w:ind w:firstLine="708"/>
        <w:jc w:val="both"/>
        <w:rPr>
          <w:rFonts w:ascii="Times New Roman" w:hAnsi="Times New Roman"/>
          <w:sz w:val="28"/>
          <w:szCs w:val="28"/>
        </w:rPr>
      </w:pPr>
      <w:r w:rsidRPr="00277663">
        <w:rPr>
          <w:rFonts w:ascii="Times New Roman" w:hAnsi="Times New Roman"/>
          <w:bCs/>
          <w:sz w:val="28"/>
          <w:szCs w:val="28"/>
        </w:rPr>
        <w:t>За інформацією Європейського банку реконструкції та розвитку (далі – ЄБРР) в Україні продовжує діяти</w:t>
      </w:r>
      <w:r w:rsidRPr="00277663">
        <w:rPr>
          <w:rFonts w:ascii="Times New Roman" w:hAnsi="Times New Roman"/>
          <w:sz w:val="28"/>
          <w:szCs w:val="28"/>
        </w:rPr>
        <w:t xml:space="preserve"> програма грантової та фінансової підтримки малого та середнього бізнесу (далі – МСБ).</w:t>
      </w:r>
    </w:p>
    <w:p w:rsidR="00277663" w:rsidRPr="00277663" w:rsidRDefault="007761C7" w:rsidP="009F39B7">
      <w:pPr>
        <w:spacing w:line="259" w:lineRule="auto"/>
        <w:ind w:firstLine="708"/>
        <w:jc w:val="both"/>
        <w:rPr>
          <w:rFonts w:ascii="Times New Roman" w:hAnsi="Times New Roman"/>
          <w:sz w:val="28"/>
          <w:szCs w:val="28"/>
        </w:rPr>
      </w:pPr>
      <w:r>
        <w:rPr>
          <w:rFonts w:ascii="Times New Roman" w:hAnsi="Times New Roman"/>
          <w:sz w:val="28"/>
          <w:szCs w:val="28"/>
        </w:rPr>
        <w:t xml:space="preserve">Для </w:t>
      </w:r>
      <w:r w:rsidR="00277663" w:rsidRPr="00277663">
        <w:rPr>
          <w:rFonts w:ascii="Times New Roman" w:hAnsi="Times New Roman"/>
          <w:sz w:val="28"/>
          <w:szCs w:val="28"/>
        </w:rPr>
        <w:t>можлив</w:t>
      </w:r>
      <w:r>
        <w:rPr>
          <w:rFonts w:ascii="Times New Roman" w:hAnsi="Times New Roman"/>
          <w:sz w:val="28"/>
          <w:szCs w:val="28"/>
        </w:rPr>
        <w:t>ої</w:t>
      </w:r>
      <w:r w:rsidR="00277663" w:rsidRPr="00277663">
        <w:rPr>
          <w:rFonts w:ascii="Times New Roman" w:hAnsi="Times New Roman"/>
          <w:sz w:val="28"/>
          <w:szCs w:val="28"/>
        </w:rPr>
        <w:t xml:space="preserve"> участі у програмах</w:t>
      </w:r>
      <w:r w:rsidR="00277663" w:rsidRPr="00277663">
        <w:rPr>
          <w:rFonts w:ascii="Times New Roman" w:hAnsi="Times New Roman"/>
          <w:sz w:val="28"/>
          <w:szCs w:val="28"/>
          <w:lang w:val="ru-RU"/>
        </w:rPr>
        <w:t> </w:t>
      </w:r>
      <w:r w:rsidR="00277663" w:rsidRPr="00277663">
        <w:rPr>
          <w:rFonts w:ascii="Times New Roman" w:hAnsi="Times New Roman"/>
          <w:sz w:val="28"/>
          <w:szCs w:val="28"/>
        </w:rPr>
        <w:t>грантової та фінансової підтримки</w:t>
      </w:r>
      <w:r w:rsidR="00277663" w:rsidRPr="00277663">
        <w:rPr>
          <w:rFonts w:ascii="Times New Roman" w:hAnsi="Times New Roman"/>
          <w:sz w:val="28"/>
          <w:szCs w:val="28"/>
          <w:lang w:val="ru-RU"/>
        </w:rPr>
        <w:t> </w:t>
      </w:r>
      <w:r w:rsidR="00277663" w:rsidRPr="00277663">
        <w:rPr>
          <w:rFonts w:ascii="Times New Roman" w:hAnsi="Times New Roman"/>
          <w:sz w:val="28"/>
          <w:szCs w:val="28"/>
        </w:rPr>
        <w:t>МСБ</w:t>
      </w:r>
      <w:r>
        <w:rPr>
          <w:rFonts w:ascii="Times New Roman" w:hAnsi="Times New Roman"/>
          <w:sz w:val="28"/>
          <w:szCs w:val="28"/>
        </w:rPr>
        <w:t xml:space="preserve"> надаємо для ознайомлення:</w:t>
      </w:r>
    </w:p>
    <w:p w:rsidR="009F39B7" w:rsidRDefault="00277663" w:rsidP="009F39B7">
      <w:pPr>
        <w:numPr>
          <w:ilvl w:val="0"/>
          <w:numId w:val="1"/>
        </w:numPr>
        <w:spacing w:line="259" w:lineRule="auto"/>
        <w:jc w:val="both"/>
        <w:rPr>
          <w:rFonts w:ascii="Times New Roman" w:hAnsi="Times New Roman"/>
          <w:sz w:val="28"/>
          <w:szCs w:val="28"/>
        </w:rPr>
      </w:pPr>
      <w:r w:rsidRPr="00277663">
        <w:rPr>
          <w:rFonts w:ascii="Times New Roman" w:hAnsi="Times New Roman"/>
          <w:sz w:val="28"/>
          <w:szCs w:val="28"/>
        </w:rPr>
        <w:t>Програм</w:t>
      </w:r>
      <w:r w:rsidR="009F39B7">
        <w:rPr>
          <w:rFonts w:ascii="Times New Roman" w:hAnsi="Times New Roman"/>
          <w:sz w:val="28"/>
          <w:szCs w:val="28"/>
        </w:rPr>
        <w:t>у</w:t>
      </w:r>
      <w:r w:rsidRPr="00277663">
        <w:rPr>
          <w:rFonts w:ascii="Times New Roman" w:hAnsi="Times New Roman"/>
          <w:sz w:val="28"/>
          <w:szCs w:val="28"/>
        </w:rPr>
        <w:t xml:space="preserve"> г</w:t>
      </w:r>
      <w:r w:rsidR="009F39B7">
        <w:rPr>
          <w:rFonts w:ascii="Times New Roman" w:hAnsi="Times New Roman"/>
          <w:sz w:val="28"/>
          <w:szCs w:val="28"/>
        </w:rPr>
        <w:t xml:space="preserve">рантової підтримки ЕБРР для МСБ; </w:t>
      </w:r>
    </w:p>
    <w:p w:rsidR="009F39B7" w:rsidRPr="009F39B7" w:rsidRDefault="00277663" w:rsidP="009F39B7">
      <w:pPr>
        <w:numPr>
          <w:ilvl w:val="0"/>
          <w:numId w:val="1"/>
        </w:numPr>
        <w:spacing w:line="259" w:lineRule="auto"/>
        <w:jc w:val="both"/>
        <w:rPr>
          <w:rFonts w:ascii="Times New Roman" w:hAnsi="Times New Roman"/>
          <w:sz w:val="28"/>
          <w:szCs w:val="28"/>
          <w:lang w:val="ru-RU"/>
        </w:rPr>
      </w:pPr>
      <w:r w:rsidRPr="009F39B7">
        <w:rPr>
          <w:rFonts w:ascii="Times New Roman" w:hAnsi="Times New Roman"/>
          <w:sz w:val="28"/>
          <w:szCs w:val="28"/>
        </w:rPr>
        <w:t>Програм</w:t>
      </w:r>
      <w:r w:rsidR="009F39B7" w:rsidRPr="009F39B7">
        <w:rPr>
          <w:rFonts w:ascii="Times New Roman" w:hAnsi="Times New Roman"/>
          <w:sz w:val="28"/>
          <w:szCs w:val="28"/>
        </w:rPr>
        <w:t>у</w:t>
      </w:r>
      <w:r w:rsidRPr="009F39B7">
        <w:rPr>
          <w:rFonts w:ascii="Times New Roman" w:hAnsi="Times New Roman"/>
          <w:sz w:val="28"/>
          <w:szCs w:val="28"/>
        </w:rPr>
        <w:t xml:space="preserve"> фі</w:t>
      </w:r>
      <w:r w:rsidR="009F39B7" w:rsidRPr="009F39B7">
        <w:rPr>
          <w:rFonts w:ascii="Times New Roman" w:hAnsi="Times New Roman"/>
          <w:sz w:val="28"/>
          <w:szCs w:val="28"/>
        </w:rPr>
        <w:t>нансової підтримки ЕБРР для МСБ;</w:t>
      </w:r>
    </w:p>
    <w:p w:rsidR="009F39B7" w:rsidRDefault="009F39B7" w:rsidP="009F39B7">
      <w:pPr>
        <w:numPr>
          <w:ilvl w:val="0"/>
          <w:numId w:val="1"/>
        </w:numPr>
        <w:spacing w:line="259" w:lineRule="auto"/>
        <w:jc w:val="both"/>
        <w:rPr>
          <w:rFonts w:ascii="Times New Roman" w:hAnsi="Times New Roman"/>
          <w:sz w:val="28"/>
          <w:szCs w:val="28"/>
        </w:rPr>
      </w:pPr>
      <w:r w:rsidRPr="009F39B7">
        <w:rPr>
          <w:rFonts w:ascii="Times New Roman" w:hAnsi="Times New Roman"/>
          <w:sz w:val="28"/>
          <w:szCs w:val="28"/>
        </w:rPr>
        <w:t>Проектну</w:t>
      </w:r>
      <w:r w:rsidR="00277663" w:rsidRPr="009F39B7">
        <w:rPr>
          <w:rFonts w:ascii="Times New Roman" w:hAnsi="Times New Roman"/>
          <w:sz w:val="28"/>
          <w:szCs w:val="28"/>
        </w:rPr>
        <w:t xml:space="preserve"> заявк</w:t>
      </w:r>
      <w:r w:rsidRPr="009F39B7">
        <w:rPr>
          <w:rFonts w:ascii="Times New Roman" w:hAnsi="Times New Roman"/>
          <w:sz w:val="28"/>
          <w:szCs w:val="28"/>
        </w:rPr>
        <w:t>у для малого бізнесу в Україні</w:t>
      </w:r>
      <w:r w:rsidR="005C587E" w:rsidRPr="005C587E">
        <w:rPr>
          <w:rFonts w:ascii="Times New Roman" w:hAnsi="Times New Roman"/>
          <w:sz w:val="28"/>
          <w:szCs w:val="28"/>
          <w:lang w:val="ru-RU"/>
        </w:rPr>
        <w:t>.</w:t>
      </w:r>
    </w:p>
    <w:p w:rsidR="003F00C4" w:rsidRPr="007761C7" w:rsidRDefault="009F39B7" w:rsidP="009F39B7">
      <w:pPr>
        <w:spacing w:line="259" w:lineRule="auto"/>
        <w:ind w:firstLine="360"/>
        <w:jc w:val="both"/>
        <w:rPr>
          <w:rFonts w:ascii="Times New Roman" w:hAnsi="Times New Roman"/>
          <w:b/>
          <w:sz w:val="28"/>
          <w:szCs w:val="28"/>
        </w:rPr>
      </w:pPr>
      <w:r>
        <w:rPr>
          <w:rFonts w:ascii="Times New Roman" w:hAnsi="Times New Roman"/>
          <w:sz w:val="28"/>
          <w:szCs w:val="28"/>
        </w:rPr>
        <w:t>У</w:t>
      </w:r>
      <w:r w:rsidR="007761C7" w:rsidRPr="007761C7">
        <w:rPr>
          <w:rFonts w:ascii="Times New Roman" w:hAnsi="Times New Roman"/>
          <w:sz w:val="28"/>
          <w:szCs w:val="28"/>
        </w:rPr>
        <w:t xml:space="preserve"> разі зацікавленості суб’єктів господарювання щодо участі у зазначених програмах за відповідними напрямами, просимо повідомити </w:t>
      </w:r>
      <w:r>
        <w:rPr>
          <w:rFonts w:ascii="Times New Roman" w:hAnsi="Times New Roman"/>
          <w:sz w:val="28"/>
          <w:szCs w:val="28"/>
        </w:rPr>
        <w:t xml:space="preserve">управління економічного розвитку і торгівлі </w:t>
      </w:r>
      <w:r w:rsidR="007761C7" w:rsidRPr="007761C7">
        <w:rPr>
          <w:rFonts w:ascii="Times New Roman" w:hAnsi="Times New Roman"/>
          <w:sz w:val="28"/>
          <w:szCs w:val="28"/>
        </w:rPr>
        <w:t xml:space="preserve">на електронну адресу </w:t>
      </w:r>
      <w:hyperlink r:id="rId7" w:history="1">
        <w:r w:rsidRPr="009507DB">
          <w:rPr>
            <w:rStyle w:val="a3"/>
            <w:rFonts w:ascii="Times New Roman" w:hAnsi="Times New Roman"/>
            <w:sz w:val="28"/>
            <w:szCs w:val="28"/>
            <w:lang w:val="en-US"/>
          </w:rPr>
          <w:t>ekonom</w:t>
        </w:r>
        <w:r w:rsidRPr="009F39B7">
          <w:rPr>
            <w:rStyle w:val="a3"/>
            <w:rFonts w:ascii="Times New Roman" w:hAnsi="Times New Roman"/>
            <w:sz w:val="28"/>
            <w:szCs w:val="28"/>
          </w:rPr>
          <w:t>_</w:t>
        </w:r>
        <w:r w:rsidRPr="009507DB">
          <w:rPr>
            <w:rStyle w:val="a3"/>
            <w:rFonts w:ascii="Times New Roman" w:hAnsi="Times New Roman"/>
            <w:sz w:val="28"/>
            <w:szCs w:val="28"/>
            <w:lang w:val="en-US"/>
          </w:rPr>
          <w:t>ndar</w:t>
        </w:r>
        <w:r w:rsidRPr="009F39B7">
          <w:rPr>
            <w:rStyle w:val="a3"/>
            <w:rFonts w:ascii="Times New Roman" w:hAnsi="Times New Roman"/>
            <w:sz w:val="28"/>
            <w:szCs w:val="28"/>
          </w:rPr>
          <w:t>@</w:t>
        </w:r>
        <w:r w:rsidRPr="009507DB">
          <w:rPr>
            <w:rStyle w:val="a3"/>
            <w:rFonts w:ascii="Times New Roman" w:hAnsi="Times New Roman"/>
            <w:sz w:val="28"/>
            <w:szCs w:val="28"/>
            <w:lang w:val="en-US"/>
          </w:rPr>
          <w:t>i</w:t>
        </w:r>
        <w:r w:rsidRPr="009F39B7">
          <w:rPr>
            <w:rStyle w:val="a3"/>
            <w:rFonts w:ascii="Times New Roman" w:hAnsi="Times New Roman"/>
            <w:sz w:val="28"/>
            <w:szCs w:val="28"/>
          </w:rPr>
          <w:t>.</w:t>
        </w:r>
        <w:r w:rsidRPr="009507DB">
          <w:rPr>
            <w:rStyle w:val="a3"/>
            <w:rFonts w:ascii="Times New Roman" w:hAnsi="Times New Roman"/>
            <w:sz w:val="28"/>
            <w:szCs w:val="28"/>
            <w:lang w:val="en-US"/>
          </w:rPr>
          <w:t>ua</w:t>
        </w:r>
      </w:hyperlink>
      <w:r w:rsidRPr="009F39B7">
        <w:rPr>
          <w:rFonts w:ascii="Times New Roman" w:hAnsi="Times New Roman"/>
          <w:sz w:val="28"/>
          <w:szCs w:val="28"/>
        </w:rPr>
        <w:t xml:space="preserve"> </w:t>
      </w:r>
      <w:r>
        <w:rPr>
          <w:rFonts w:ascii="Times New Roman" w:hAnsi="Times New Roman"/>
          <w:sz w:val="28"/>
          <w:szCs w:val="28"/>
        </w:rPr>
        <w:t xml:space="preserve">або зателефонувати за номером 9-42-39 </w:t>
      </w:r>
      <w:r w:rsidR="007761C7" w:rsidRPr="007761C7">
        <w:rPr>
          <w:rFonts w:ascii="Times New Roman" w:hAnsi="Times New Roman"/>
          <w:sz w:val="28"/>
          <w:szCs w:val="28"/>
        </w:rPr>
        <w:t>для подальшої координації взаємодії представників бізнесу та ЄБРР й організації зустрічі для проведення презентації програми грантової та фінансової підтримки МСБ та попереднього обговорення можливих проблемних питань.</w:t>
      </w:r>
    </w:p>
    <w:p w:rsidR="003F00C4" w:rsidRPr="005C587E" w:rsidRDefault="003F00C4" w:rsidP="009F39B7">
      <w:pPr>
        <w:spacing w:line="259" w:lineRule="auto"/>
        <w:jc w:val="both"/>
        <w:rPr>
          <w:rFonts w:ascii="Times New Roman" w:hAnsi="Times New Roman"/>
          <w:b/>
          <w:sz w:val="28"/>
          <w:szCs w:val="28"/>
        </w:rPr>
      </w:pPr>
    </w:p>
    <w:p w:rsidR="003F00C4" w:rsidRDefault="003F00C4" w:rsidP="00C20501">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sz w:val="28"/>
          <w:szCs w:val="28"/>
        </w:rPr>
      </w:pPr>
    </w:p>
    <w:p w:rsidR="003713B3" w:rsidRDefault="003713B3" w:rsidP="002E46E0">
      <w:pPr>
        <w:spacing w:line="259" w:lineRule="auto"/>
        <w:jc w:val="both"/>
        <w:rPr>
          <w:rFonts w:ascii="Times New Roman" w:hAnsi="Times New Roman"/>
          <w:b/>
          <w:sz w:val="28"/>
          <w:szCs w:val="28"/>
        </w:rPr>
      </w:pPr>
      <w:bookmarkStart w:id="0" w:name="_GoBack"/>
      <w:bookmarkEnd w:id="0"/>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lastRenderedPageBreak/>
        <w:t xml:space="preserve">Додаток </w:t>
      </w:r>
      <w:r w:rsidRPr="003713B3">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val="ru-RU" w:eastAsia="ru-RU"/>
        </w:rPr>
        <w:t xml:space="preserve"> </w:t>
      </w:r>
    </w:p>
    <w:p w:rsidR="005C587E" w:rsidRDefault="005C587E" w:rsidP="005C587E">
      <w:pPr>
        <w:jc w:val="center"/>
        <w:rPr>
          <w:rFonts w:ascii="Times New Roman" w:eastAsia="Times New Roman" w:hAnsi="Times New Roman"/>
          <w:b/>
          <w:sz w:val="26"/>
          <w:szCs w:val="28"/>
          <w:lang w:eastAsia="ru-RU"/>
        </w:rPr>
      </w:pPr>
    </w:p>
    <w:p w:rsidR="005C587E" w:rsidRPr="005C587E" w:rsidRDefault="005C587E" w:rsidP="005C587E">
      <w:pPr>
        <w:jc w:val="center"/>
        <w:rPr>
          <w:rFonts w:ascii="Times New Roman" w:eastAsia="Times New Roman" w:hAnsi="Times New Roman"/>
          <w:b/>
          <w:sz w:val="26"/>
          <w:szCs w:val="28"/>
          <w:lang w:eastAsia="ru-RU"/>
        </w:rPr>
      </w:pPr>
      <w:r w:rsidRPr="005C587E">
        <w:rPr>
          <w:rFonts w:ascii="Times New Roman" w:eastAsia="Times New Roman" w:hAnsi="Times New Roman"/>
          <w:b/>
          <w:sz w:val="26"/>
          <w:szCs w:val="28"/>
          <w:lang w:eastAsia="ru-RU"/>
        </w:rPr>
        <w:t>Програма грантової підтримки ЕБРР для МСБ</w:t>
      </w:r>
    </w:p>
    <w:p w:rsidR="005C587E" w:rsidRPr="005C587E" w:rsidRDefault="005C587E" w:rsidP="005C587E">
      <w:pPr>
        <w:jc w:val="right"/>
        <w:rPr>
          <w:rFonts w:ascii="Times New Roman" w:eastAsia="Times New Roman" w:hAnsi="Times New Roman"/>
          <w:sz w:val="26"/>
          <w:szCs w:val="28"/>
          <w:lang w:eastAsia="ru-RU"/>
        </w:rPr>
      </w:pP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Грантова програма консалтингових проектів ЄБРР розроблена для того, щоб надати малому та середньому бізнесу унікальну можливість для розвитку шляхом залучення кваліфікованих та досвідчених консультантів на умовах часткової компенсації вартості проекту.</w:t>
      </w: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Роки успішної реалізації Програми на прикладах демонструють, як консалтингові проекти, які допомагають бізнесу отримати інструменти, навички і знання, необхідні для масштабування бізнесу, залучення фінансування, виходу на зовнішні ринки тощо.  </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Ми допомагаємо:</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sz w:val="26"/>
          <w:szCs w:val="28"/>
          <w:lang w:eastAsia="ru-RU"/>
        </w:rPr>
        <w:t>1) </w:t>
      </w:r>
      <w:r w:rsidRPr="005C587E">
        <w:rPr>
          <w:rFonts w:ascii="Times New Roman" w:eastAsia="Times New Roman" w:hAnsi="Times New Roman"/>
          <w:iCs/>
          <w:sz w:val="26"/>
          <w:szCs w:val="28"/>
          <w:lang w:eastAsia="ru-RU"/>
        </w:rPr>
        <w:t>Провести Вам загальну попередню бізнес-діагностику на першій зустрічі з аналітиком ЄБРР</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2) Залучити професійних консультантів та в подальшому використати їхні знання та інструменти для розвитку Вашого бізнесу</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3) Надаємо супровід проекту від самого початку до його завершення</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4) Компенсуємо частину вартості проекту (від 50% від вартості проекту, для проектів з енергоефективності компенсація становить 75%)</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5) Знижуємо ризик невдалого проекту.</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b/>
          <w:bCs/>
          <w:sz w:val="26"/>
          <w:szCs w:val="28"/>
          <w:lang w:eastAsia="ru-RU"/>
        </w:rPr>
        <w:t>Напрямки консалтингового проекту:</w:t>
      </w:r>
      <w:r w:rsidRPr="005C587E">
        <w:rPr>
          <w:rFonts w:ascii="Times New Roman" w:eastAsia="Times New Roman" w:hAnsi="Times New Roman"/>
          <w:sz w:val="26"/>
          <w:szCs w:val="28"/>
          <w:lang w:eastAsia="ru-RU"/>
        </w:rPr>
        <w:t xml:space="preserve"> </w:t>
      </w:r>
      <w:r w:rsidRPr="005C587E">
        <w:rPr>
          <w:rFonts w:ascii="Times New Roman" w:eastAsia="Times New Roman" w:hAnsi="Times New Roman"/>
          <w:bCs/>
          <w:iCs/>
          <w:sz w:val="26"/>
          <w:szCs w:val="28"/>
          <w:lang w:eastAsia="ru-RU"/>
        </w:rPr>
        <w:t>інформаційні технології, системи якості, стратегія, маркетинг, організаційне консультування, операційна ефективність, інженерні рішення, енергоефективність, управління фінансами.</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Вимоги до бізнесу, що може отримати грант на консалтинговий проект:</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 xml:space="preserve">- </w:t>
      </w:r>
      <w:r w:rsidRPr="005C587E">
        <w:rPr>
          <w:rFonts w:ascii="Times New Roman" w:eastAsia="Times New Roman" w:hAnsi="Times New Roman"/>
          <w:bCs/>
          <w:iCs/>
          <w:sz w:val="26"/>
          <w:szCs w:val="28"/>
          <w:lang w:eastAsia="ru-RU"/>
        </w:rPr>
        <w:t>більше 2-х років на ринку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більше 50% компанії належить громадянам України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від 10 до 250 співробітників у штаті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потенціал для розвитку, наявність конкурентних переваг</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гарна ділова репутація власників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потреба у залученні консультанта</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Перелік необхідних документів: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анкети-заявки за підписом директора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виписки з державного реєстру компаній або електронної виписки з державного реєстру за підписом директора компанії 2016-2017 рр.;</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річних фінансових звітів (форми 1 та 2) за останні два роки, завірені печаткою держоргану про їх отримання або із електронними квитанціями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Про отримання звітів держорганом, що подавались в електронному виді (для ФОП- річні податкові накладні так само завірені);</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статуту компанії (або копії всіх сторінок паспорту для ФОП);</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PDF звіт, який надсилається Вашій компанії по результатам проходження опитувальника Busniess Lens</w:t>
      </w:r>
      <w:r w:rsidRPr="005C587E">
        <w:rPr>
          <w:rFonts w:ascii="Times New Roman" w:eastAsia="Times New Roman" w:hAnsi="Times New Roman"/>
          <w:sz w:val="26"/>
          <w:szCs w:val="28"/>
          <w:lang w:eastAsia="ru-RU"/>
        </w:rPr>
        <w:t> </w:t>
      </w:r>
      <w:r w:rsidRPr="005C587E">
        <w:rPr>
          <w:rFonts w:ascii="Times New Roman" w:eastAsia="Times New Roman" w:hAnsi="Times New Roman"/>
          <w:bCs/>
          <w:iCs/>
          <w:sz w:val="26"/>
          <w:szCs w:val="28"/>
          <w:lang w:eastAsia="ru-RU"/>
        </w:rPr>
        <w:t>за підписом керівника</w:t>
      </w:r>
      <w:r w:rsidRPr="005C587E">
        <w:rPr>
          <w:rFonts w:ascii="Times New Roman" w:eastAsia="Times New Roman" w:hAnsi="Times New Roman"/>
          <w:sz w:val="26"/>
          <w:szCs w:val="28"/>
          <w:lang w:eastAsia="ru-RU"/>
        </w:rPr>
        <w:t>(</w:t>
      </w:r>
      <w:hyperlink r:id="rId8" w:tgtFrame="_blank" w:history="1">
        <w:r w:rsidRPr="005C587E">
          <w:rPr>
            <w:rFonts w:ascii="Times New Roman" w:eastAsia="Times New Roman" w:hAnsi="Times New Roman"/>
            <w:sz w:val="26"/>
            <w:szCs w:val="28"/>
            <w:u w:val="single"/>
            <w:lang w:eastAsia="ru-RU"/>
          </w:rPr>
          <w:t>http://ebrdbusinesslens.com/</w:t>
        </w:r>
      </w:hyperlink>
      <w:r w:rsidRPr="005C587E">
        <w:rPr>
          <w:rFonts w:ascii="Times New Roman" w:eastAsia="Times New Roman" w:hAnsi="Times New Roman"/>
          <w:sz w:val="26"/>
          <w:szCs w:val="28"/>
          <w:lang w:eastAsia="ru-RU"/>
        </w:rPr>
        <w:t>) .</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Прохання також заповнити короткий відгук стосовно корисності даного інструменту -</w:t>
      </w:r>
      <w:r w:rsidRPr="005C587E">
        <w:rPr>
          <w:rFonts w:ascii="Times New Roman" w:eastAsia="Times New Roman" w:hAnsi="Times New Roman"/>
          <w:sz w:val="26"/>
          <w:szCs w:val="28"/>
          <w:lang w:eastAsia="ru-RU"/>
        </w:rPr>
        <w:t> </w:t>
      </w:r>
      <w:hyperlink r:id="rId9" w:tgtFrame="_blank" w:history="1">
        <w:r w:rsidRPr="005C587E">
          <w:rPr>
            <w:rFonts w:ascii="Times New Roman" w:eastAsia="Times New Roman" w:hAnsi="Times New Roman"/>
            <w:sz w:val="26"/>
            <w:szCs w:val="28"/>
            <w:u w:val="single"/>
            <w:lang w:eastAsia="ru-RU"/>
          </w:rPr>
          <w:t>https://form.jotformeu.com/71942332028351</w:t>
        </w:r>
      </w:hyperlink>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Кроки до старту консалтингового проекту:</w:t>
      </w:r>
    </w:p>
    <w:tbl>
      <w:tblPr>
        <w:tblW w:w="0" w:type="auto"/>
        <w:shd w:val="clear" w:color="auto" w:fill="FFFFFF"/>
        <w:tblCellMar>
          <w:left w:w="0" w:type="dxa"/>
          <w:right w:w="0" w:type="dxa"/>
        </w:tblCellMar>
        <w:tblLook w:val="04A0" w:firstRow="1" w:lastRow="0" w:firstColumn="1" w:lastColumn="0" w:noHBand="0" w:noVBand="1"/>
      </w:tblPr>
      <w:tblGrid>
        <w:gridCol w:w="559"/>
        <w:gridCol w:w="9017"/>
      </w:tblGrid>
      <w:tr w:rsidR="005C587E" w:rsidRPr="005C587E" w:rsidTr="005C587E">
        <w:tc>
          <w:tcPr>
            <w:tcW w:w="95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В середньому процес відбору учасників триває 2-4 тижні.</w:t>
            </w:r>
          </w:p>
        </w:tc>
      </w:tr>
      <w:tr w:rsidR="005C587E" w:rsidRPr="005C587E" w:rsidTr="005C587E">
        <w:trPr>
          <w:trHeight w:val="679"/>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1</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Заповнити анкету та надіслати, разом із необхідними документами, на електронні адреси </w:t>
            </w:r>
            <w:hyperlink r:id="rId10" w:tgtFrame="_blank" w:history="1">
              <w:r w:rsidRPr="005C587E">
                <w:rPr>
                  <w:rFonts w:ascii="Times New Roman" w:eastAsia="Times New Roman" w:hAnsi="Times New Roman"/>
                  <w:bCs/>
                  <w:sz w:val="26"/>
                  <w:szCs w:val="28"/>
                  <w:u w:val="single"/>
                  <w:lang w:eastAsia="ru-RU"/>
                </w:rPr>
                <w:t>knowhowukraine@ebrd.com</w:t>
              </w:r>
            </w:hyperlink>
            <w:r w:rsidRPr="005C587E">
              <w:rPr>
                <w:rFonts w:ascii="Times New Roman" w:eastAsia="Times New Roman" w:hAnsi="Times New Roman"/>
                <w:bCs/>
                <w:sz w:val="26"/>
                <w:szCs w:val="28"/>
                <w:u w:val="single"/>
                <w:lang w:eastAsia="ru-RU"/>
              </w:rPr>
              <w:t> </w:t>
            </w:r>
            <w:r w:rsidRPr="005C587E">
              <w:rPr>
                <w:rFonts w:ascii="Times New Roman" w:eastAsia="Times New Roman" w:hAnsi="Times New Roman"/>
                <w:sz w:val="26"/>
                <w:szCs w:val="28"/>
                <w:lang w:eastAsia="ru-RU"/>
              </w:rPr>
              <w:t>та</w:t>
            </w:r>
            <w:r w:rsidRPr="005C587E">
              <w:rPr>
                <w:rFonts w:ascii="Times New Roman" w:eastAsia="Times New Roman" w:hAnsi="Times New Roman"/>
                <w:bCs/>
                <w:sz w:val="26"/>
                <w:szCs w:val="28"/>
                <w:u w:val="single"/>
                <w:lang w:eastAsia="ru-RU"/>
              </w:rPr>
              <w:t> </w:t>
            </w:r>
            <w:hyperlink r:id="rId11" w:tgtFrame="_blank" w:history="1">
              <w:r w:rsidRPr="005C587E">
                <w:rPr>
                  <w:rFonts w:ascii="Times New Roman" w:eastAsia="Times New Roman" w:hAnsi="Times New Roman"/>
                  <w:bCs/>
                  <w:sz w:val="26"/>
                  <w:szCs w:val="28"/>
                  <w:u w:val="single"/>
                  <w:lang w:eastAsia="ru-RU"/>
                </w:rPr>
                <w:t>khalilot@ebrd.com</w:t>
              </w:r>
            </w:hyperlink>
          </w:p>
        </w:tc>
      </w:tr>
      <w:tr w:rsidR="005C587E" w:rsidRPr="005C587E" w:rsidTr="005C587E">
        <w:trPr>
          <w:trHeight w:val="375"/>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lastRenderedPageBreak/>
              <w:t>2</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Перевірка комплектності наданих документів ЄБРР (2-5 робочі днів).</w:t>
            </w:r>
          </w:p>
        </w:tc>
      </w:tr>
      <w:tr w:rsidR="005C587E" w:rsidRPr="005C587E" w:rsidTr="005C587E">
        <w:trPr>
          <w:trHeight w:val="72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3</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Зустріч представників ЄБРР з менеджментом та/або власниками компанії.</w:t>
            </w:r>
          </w:p>
        </w:tc>
      </w:tr>
      <w:tr w:rsidR="005C587E" w:rsidRPr="005C587E" w:rsidTr="005C587E">
        <w:trPr>
          <w:trHeight w:val="421"/>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4</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Затвердження підприємства на участь у програмі.</w:t>
            </w:r>
          </w:p>
        </w:tc>
      </w:tr>
      <w:tr w:rsidR="005C587E" w:rsidRPr="005C587E" w:rsidTr="005C587E">
        <w:trPr>
          <w:trHeight w:val="41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5</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Донесення рішення до компанії, що подала заявку. </w:t>
            </w:r>
          </w:p>
        </w:tc>
      </w:tr>
    </w:tbl>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Вибір консультанта</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Консалтингові послуги надаються консультантами, які п</w:t>
      </w:r>
      <w:r>
        <w:rPr>
          <w:rFonts w:ascii="Times New Roman" w:eastAsia="Times New Roman" w:hAnsi="Times New Roman"/>
          <w:sz w:val="26"/>
          <w:szCs w:val="28"/>
          <w:lang w:eastAsia="ru-RU"/>
        </w:rPr>
        <w:t>е</w:t>
      </w:r>
      <w:r w:rsidRPr="005C587E">
        <w:rPr>
          <w:rFonts w:ascii="Times New Roman" w:eastAsia="Times New Roman" w:hAnsi="Times New Roman"/>
          <w:sz w:val="26"/>
          <w:szCs w:val="28"/>
          <w:lang w:eastAsia="ru-RU"/>
        </w:rPr>
        <w:t>рекваліфіковані згідно процедур ЄБРР. Відбір консультанта відбувається через процедури міні-тендеру. Клієнт обирає консультанта серед трьох кандидатів, запропонованих ЄБРР.</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Клієнт також може самостійно пропонувати консультанта, але якщо цей консультант не має статусу пре-кваліфікованого в ЄБРР, йому необхідно пройти цю процедуру перед початком проекту.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 </w:t>
      </w:r>
    </w:p>
    <w:p w:rsidR="005C587E" w:rsidRPr="005C587E" w:rsidRDefault="005C587E" w:rsidP="005C587E">
      <w:pPr>
        <w:spacing w:after="160" w:line="256" w:lineRule="auto"/>
        <w:jc w:val="both"/>
        <w:rPr>
          <w:sz w:val="26"/>
        </w:rPr>
      </w:pPr>
    </w:p>
    <w:p w:rsidR="002F4428" w:rsidRDefault="002F4428" w:rsidP="002E46E0">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sz w:val="24"/>
          <w:szCs w:val="24"/>
        </w:rPr>
      </w:pPr>
    </w:p>
    <w:p w:rsidR="002166BE" w:rsidRDefault="002166BE"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B426E6" w:rsidRDefault="00B426E6" w:rsidP="003505B4">
      <w:pPr>
        <w:spacing w:line="259" w:lineRule="auto"/>
        <w:rPr>
          <w:rFonts w:ascii="Times New Roman" w:hAnsi="Times New Roman"/>
          <w:sz w:val="24"/>
          <w:szCs w:val="24"/>
        </w:rPr>
      </w:pPr>
    </w:p>
    <w:p w:rsidR="005C587E" w:rsidRDefault="005C587E" w:rsidP="005C587E">
      <w:pPr>
        <w:jc w:val="right"/>
        <w:rPr>
          <w:rFonts w:ascii="Times New Roman" w:eastAsia="Times New Roman" w:hAnsi="Times New Roman"/>
          <w:sz w:val="26"/>
          <w:szCs w:val="20"/>
          <w:lang w:val="ru-RU" w:eastAsia="ru-RU"/>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Pr="003713B3">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val="ru-RU" w:eastAsia="ru-RU"/>
        </w:rPr>
        <w:t xml:space="preserve"> </w:t>
      </w:r>
    </w:p>
    <w:p w:rsidR="005C587E" w:rsidRPr="005C587E" w:rsidRDefault="005C587E" w:rsidP="005C587E">
      <w:pPr>
        <w:jc w:val="right"/>
        <w:rPr>
          <w:rFonts w:ascii="Times New Roman" w:eastAsia="Times New Roman" w:hAnsi="Times New Roman"/>
          <w:b/>
          <w:sz w:val="26"/>
          <w:szCs w:val="20"/>
          <w:lang w:val="ru-RU" w:eastAsia="ru-RU"/>
        </w:rPr>
      </w:pPr>
    </w:p>
    <w:p w:rsidR="005C587E" w:rsidRPr="005C587E" w:rsidRDefault="005C587E" w:rsidP="005C587E">
      <w:pPr>
        <w:jc w:val="center"/>
        <w:rPr>
          <w:rFonts w:ascii="Times New Roman" w:eastAsia="Times New Roman" w:hAnsi="Times New Roman"/>
          <w:b/>
          <w:sz w:val="26"/>
          <w:szCs w:val="20"/>
          <w:lang w:val="ru-RU" w:eastAsia="ru-RU"/>
        </w:rPr>
      </w:pPr>
      <w:r w:rsidRPr="005C587E">
        <w:rPr>
          <w:rFonts w:ascii="Times New Roman" w:eastAsia="Times New Roman" w:hAnsi="Times New Roman"/>
          <w:b/>
          <w:sz w:val="26"/>
          <w:szCs w:val="20"/>
          <w:lang w:val="ru-RU" w:eastAsia="ru-RU"/>
        </w:rPr>
        <w:t xml:space="preserve">Программа </w:t>
      </w:r>
      <w:r w:rsidRPr="005C587E">
        <w:rPr>
          <w:rFonts w:ascii="Times New Roman" w:eastAsia="Times New Roman" w:hAnsi="Times New Roman"/>
          <w:b/>
          <w:sz w:val="26"/>
          <w:szCs w:val="20"/>
          <w:lang w:eastAsia="ru-RU"/>
        </w:rPr>
        <w:t>фінансової підтримки ЕБРР для МСБ</w:t>
      </w:r>
      <w:r w:rsidRPr="005C587E">
        <w:rPr>
          <w:rFonts w:ascii="Times New Roman" w:eastAsia="Times New Roman" w:hAnsi="Times New Roman"/>
          <w:b/>
          <w:sz w:val="26"/>
          <w:szCs w:val="20"/>
          <w:lang w:val="ru-RU" w:eastAsia="ru-RU"/>
        </w:rPr>
        <w:t xml:space="preserve"> </w:t>
      </w:r>
    </w:p>
    <w:p w:rsidR="005C587E" w:rsidRPr="005C587E" w:rsidRDefault="005C587E" w:rsidP="005C587E">
      <w:pPr>
        <w:rPr>
          <w:rFonts w:ascii="Times New Roman" w:eastAsia="Times New Roman" w:hAnsi="Times New Roman"/>
          <w:sz w:val="26"/>
          <w:szCs w:val="20"/>
          <w:lang w:val="ru-RU" w:eastAsia="ru-RU"/>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46"/>
        <w:gridCol w:w="7762"/>
      </w:tblGrid>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розмір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eastAsia="ru-RU"/>
              </w:rPr>
            </w:pPr>
            <w:r w:rsidRPr="005C587E">
              <w:rPr>
                <w:rFonts w:ascii="Times New Roman" w:eastAsia="Times New Roman" w:hAnsi="Times New Roman"/>
                <w:sz w:val="26"/>
                <w:szCs w:val="20"/>
                <w:lang w:eastAsia="ru-RU"/>
              </w:rPr>
              <w:t>від 1 млн. до 10 млн. євро (можливість і умови збільшення розміру фінансування обговорюються);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ind w:left="-108"/>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форма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прямий кредит Банку, номінований у гривні, євро або дол. США (відсутність обмежень НБУ по виплаті</w:t>
            </w:r>
            <w:r w:rsidRPr="005C587E">
              <w:rPr>
                <w:rFonts w:ascii="Times New Roman" w:hAnsi="Times New Roman"/>
                <w:sz w:val="26"/>
                <w:szCs w:val="20"/>
              </w:rPr>
              <w:t xml:space="preserve"> </w:t>
            </w:r>
            <w:r w:rsidRPr="005C587E">
              <w:rPr>
                <w:rFonts w:ascii="Times New Roman" w:hAnsi="Times New Roman"/>
                <w:sz w:val="26"/>
                <w:szCs w:val="20"/>
                <w:lang w:val="ru-RU"/>
              </w:rPr>
              <w:t>% і повернення позики Банку);</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конвертація позики в капітал, або можливість вкладень в акціонерний капітал з часткою Банку до 35% обговорюється додатково;</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від 3-х до 10 років (можливість збільшення терміну до 15 років обговорюється);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структурування кредита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9-12 місяців (з моменту надання в Банк документації):</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проведення поглибленої фінансової, юридичної та технічної перевірки;</w:t>
            </w:r>
          </w:p>
          <w:p w:rsidR="005C587E" w:rsidRPr="005C587E" w:rsidRDefault="005C587E" w:rsidP="005C587E">
            <w:pPr>
              <w:contextualSpacing/>
              <w:jc w:val="both"/>
              <w:rPr>
                <w:rFonts w:ascii="Times New Roman" w:hAnsi="Times New Roman"/>
                <w:sz w:val="26"/>
                <w:szCs w:val="20"/>
                <w:lang w:val="ru-RU"/>
              </w:rPr>
            </w:pPr>
            <w:r w:rsidRPr="005C587E">
              <w:rPr>
                <w:rFonts w:ascii="Times New Roman" w:hAnsi="Times New Roman"/>
                <w:sz w:val="26"/>
                <w:szCs w:val="20"/>
                <w:lang w:val="ru-RU"/>
              </w:rPr>
              <w:t>структурування умов і видача кредиту;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ставка</w:t>
            </w:r>
          </w:p>
          <w:p w:rsidR="005C587E" w:rsidRPr="005C587E" w:rsidRDefault="005C587E" w:rsidP="005C587E">
            <w:pPr>
              <w:rPr>
                <w:rFonts w:ascii="Times New Roman" w:eastAsia="Times New Roman" w:hAnsi="Times New Roman"/>
                <w:b/>
                <w:sz w:val="26"/>
                <w:szCs w:val="20"/>
                <w:lang w:val="ru-RU" w:eastAsia="ru-RU"/>
              </w:rPr>
            </w:pP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Міжбанківська ставка (Libor / Euribor для валюти) + ринкова премія за ризик (обговорюється, як плаваюча, так і фіксована ставка);</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 xml:space="preserve">Забезпечення </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Застава активів (з урахуванням незалежної оцінки) в розмірі 1.5x до суми кредиту і корпоративних прав + інші форми забезпечення, що дозволяють знизити премію за ризик;</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val="ru-RU" w:eastAsia="ru-RU"/>
              </w:rPr>
              <w:t>Субс</w:t>
            </w:r>
            <w:r w:rsidRPr="005C587E">
              <w:rPr>
                <w:rFonts w:ascii="Times New Roman" w:eastAsia="Times New Roman" w:hAnsi="Times New Roman"/>
                <w:b/>
                <w:sz w:val="26"/>
                <w:szCs w:val="20"/>
                <w:lang w:eastAsia="ru-RU"/>
              </w:rPr>
              <w:t>идія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Банк не субсидує проекти і не надає пільги, але</w:t>
            </w:r>
            <w:r w:rsidRPr="005C587E">
              <w:rPr>
                <w:rFonts w:ascii="Times New Roman" w:hAnsi="Times New Roman"/>
                <w:sz w:val="26"/>
                <w:szCs w:val="20"/>
              </w:rPr>
              <w:t xml:space="preserve"> е</w:t>
            </w:r>
            <w:r w:rsidRPr="005C587E">
              <w:rPr>
                <w:rFonts w:ascii="Times New Roman" w:hAnsi="Times New Roman"/>
                <w:sz w:val="26"/>
                <w:szCs w:val="20"/>
                <w:lang w:val="ru-RU"/>
              </w:rPr>
              <w:t xml:space="preserve">фективна вартість фінансування може бути знижена за рахунок використання грантів, в т. ч. для проведення аудиту за МСФЗ, отримання кваліфікованих консультацій щодо реструктуризації корпоративного управління, впровадження технологій, розробки ТЕО </w:t>
            </w:r>
            <w:r w:rsidRPr="005C587E">
              <w:rPr>
                <w:rFonts w:ascii="Times New Roman" w:hAnsi="Times New Roman"/>
                <w:sz w:val="26"/>
                <w:szCs w:val="20"/>
              </w:rPr>
              <w:t>та</w:t>
            </w:r>
            <w:r w:rsidRPr="005C587E">
              <w:rPr>
                <w:rFonts w:ascii="Times New Roman" w:hAnsi="Times New Roman"/>
                <w:sz w:val="26"/>
                <w:szCs w:val="20"/>
                <w:lang w:val="ru-RU"/>
              </w:rPr>
              <w:t xml:space="preserve"> ін.;</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Вимоги</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EBITDA (за середнім курсом за період) від 1 млн євро;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Сума всіх існуючих кредитів і планов</w:t>
            </w:r>
            <w:r w:rsidRPr="005C587E">
              <w:rPr>
                <w:rFonts w:ascii="Times New Roman" w:eastAsia="Times New Roman" w:hAnsi="Times New Roman"/>
                <w:sz w:val="26"/>
                <w:szCs w:val="20"/>
                <w:lang w:eastAsia="ru-RU"/>
              </w:rPr>
              <w:t>ої</w:t>
            </w:r>
            <w:r w:rsidRPr="005C587E">
              <w:rPr>
                <w:rFonts w:ascii="Times New Roman" w:eastAsia="Times New Roman" w:hAnsi="Times New Roman"/>
                <w:sz w:val="26"/>
                <w:szCs w:val="20"/>
                <w:lang w:val="ru-RU" w:eastAsia="ru-RU"/>
              </w:rPr>
              <w:t xml:space="preserve"> позики Банку не вище 2.5x фактичної EBITDA;</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Відповідність критеріям МCП:</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1. Кількість працівників (на повній ставці) - не вище 500 осіб;</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2.а. Річний обсяг реалізації підприємства / холдингу - не вище 50 млн євро за середнім курсом, або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eastAsia="ru-RU"/>
              </w:rPr>
              <w:t>б</w:t>
            </w:r>
            <w:r w:rsidRPr="005C587E">
              <w:rPr>
                <w:rFonts w:ascii="Times New Roman" w:eastAsia="Times New Roman" w:hAnsi="Times New Roman"/>
                <w:sz w:val="26"/>
                <w:szCs w:val="20"/>
                <w:lang w:val="ru-RU" w:eastAsia="ru-RU"/>
              </w:rPr>
              <w:t>. Обсяг активів підприємства / холдингу - не вище 43 млн євро за курсом на звітну дату;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Цільове використання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Придбання підприємств, розширення, інновації, підвищення конкурентоспроможності, експортного потенціалу, </w:t>
            </w:r>
            <w:r w:rsidRPr="005C587E">
              <w:rPr>
                <w:rFonts w:ascii="Times New Roman" w:hAnsi="Times New Roman"/>
                <w:sz w:val="26"/>
                <w:szCs w:val="20"/>
                <w:lang w:val="ru-RU"/>
              </w:rPr>
              <w:lastRenderedPageBreak/>
              <w:t>ефективності (в т.ч. енергоефективності);</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С</w:t>
            </w:r>
            <w:r w:rsidRPr="005C587E">
              <w:rPr>
                <w:rFonts w:ascii="Times New Roman" w:hAnsi="Times New Roman"/>
                <w:sz w:val="26"/>
                <w:szCs w:val="20"/>
              </w:rPr>
              <w:t>уворо</w:t>
            </w:r>
            <w:r w:rsidRPr="005C587E">
              <w:rPr>
                <w:rFonts w:ascii="Times New Roman" w:hAnsi="Times New Roman"/>
                <w:sz w:val="26"/>
                <w:szCs w:val="20"/>
                <w:lang w:val="ru-RU"/>
              </w:rPr>
              <w:t xml:space="preserve"> контролюється Банком на всіх етапах фінансування;</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Банк не надає кошти для цілей рефінансування існуючих кредитів;</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lastRenderedPageBreak/>
              <w:t>Умови співробітництва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 момент схвалення кредиту наявність прозорої структури володіння і управління (пропонується консультаційна допомога);</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Наявність аудиту фінансової звітності за системою МСФЗ, або готовність до проведення аудиту (пропонується консультаційна допомога);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Дотримання принципів екологічної та соціальної відповідальності;</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Переваги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Канікули на виплату тіла кредиту (1-2 року обговорюються);</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Підтримка Банку по залученню необхідних експертиз для успішної реалізації проекту (в т.ч. гранти ЄС на кваліфіковані консультації щодо виходу на ринки ЄС, впровадження передових технологій, аудит за МСФЗ, технічний аудит, юр. </w:t>
            </w:r>
            <w:r w:rsidRPr="005C587E">
              <w:rPr>
                <w:rFonts w:ascii="Times New Roman" w:hAnsi="Times New Roman"/>
                <w:sz w:val="26"/>
                <w:szCs w:val="20"/>
              </w:rPr>
              <w:t>п</w:t>
            </w:r>
            <w:r w:rsidRPr="005C587E">
              <w:rPr>
                <w:rFonts w:ascii="Times New Roman" w:hAnsi="Times New Roman"/>
                <w:sz w:val="26"/>
                <w:szCs w:val="20"/>
                <w:lang w:val="ru-RU"/>
              </w:rPr>
              <w:t>ослуги і т.д.);</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Можливість збільшення розміру фінансування Банку / партнерських міжнародних фінансових організацій, у міру зростання підприємства;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Підтримка державних органів управління завдяки репутації та місії Банку.</w:t>
            </w:r>
          </w:p>
        </w:tc>
      </w:tr>
    </w:tbl>
    <w:p w:rsidR="005C587E" w:rsidRPr="005C587E" w:rsidRDefault="005C587E" w:rsidP="005C587E">
      <w:pPr>
        <w:rPr>
          <w:rFonts w:ascii="Times New Roman" w:eastAsia="Times New Roman" w:hAnsi="Times New Roman"/>
          <w:sz w:val="26"/>
          <w:szCs w:val="20"/>
          <w:lang w:val="ru-RU" w:eastAsia="ru-RU"/>
        </w:rPr>
      </w:pPr>
    </w:p>
    <w:p w:rsidR="005C587E" w:rsidRPr="005C587E" w:rsidRDefault="005C587E" w:rsidP="005C587E">
      <w:pPr>
        <w:rPr>
          <w:rFonts w:ascii="Times New Roman" w:eastAsia="Times New Roman" w:hAnsi="Times New Roman"/>
          <w:sz w:val="26"/>
          <w:szCs w:val="28"/>
          <w:lang w:eastAsia="ru-RU"/>
        </w:rPr>
      </w:pPr>
    </w:p>
    <w:p w:rsidR="00B426E6" w:rsidRDefault="00B426E6" w:rsidP="003505B4">
      <w:pPr>
        <w:spacing w:line="259" w:lineRule="auto"/>
        <w:rPr>
          <w:rFonts w:ascii="Times New Roman" w:hAnsi="Times New Roman"/>
          <w:sz w:val="24"/>
          <w:szCs w:val="24"/>
        </w:rPr>
      </w:pPr>
    </w:p>
    <w:sectPr w:rsidR="00B426E6" w:rsidSect="007372B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F44" w:rsidRDefault="008C2F44" w:rsidP="00FB35B6">
      <w:r>
        <w:separator/>
      </w:r>
    </w:p>
  </w:endnote>
  <w:endnote w:type="continuationSeparator" w:id="0">
    <w:p w:rsidR="008C2F44" w:rsidRDefault="008C2F44" w:rsidP="00F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F44" w:rsidRDefault="008C2F44" w:rsidP="00FB35B6">
      <w:r>
        <w:separator/>
      </w:r>
    </w:p>
  </w:footnote>
  <w:footnote w:type="continuationSeparator" w:id="0">
    <w:p w:rsidR="008C2F44" w:rsidRDefault="008C2F44" w:rsidP="00FB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6534"/>
    <w:multiLevelType w:val="hybridMultilevel"/>
    <w:tmpl w:val="3E56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47F79"/>
    <w:multiLevelType w:val="hybridMultilevel"/>
    <w:tmpl w:val="56707CBA"/>
    <w:lvl w:ilvl="0" w:tplc="180872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02804"/>
    <w:rsid w:val="000068DC"/>
    <w:rsid w:val="00016A17"/>
    <w:rsid w:val="0003124F"/>
    <w:rsid w:val="00031C06"/>
    <w:rsid w:val="00063F92"/>
    <w:rsid w:val="00081342"/>
    <w:rsid w:val="0009616F"/>
    <w:rsid w:val="000B6AD0"/>
    <w:rsid w:val="000C631D"/>
    <w:rsid w:val="001000F1"/>
    <w:rsid w:val="00165C94"/>
    <w:rsid w:val="0017573D"/>
    <w:rsid w:val="00184D45"/>
    <w:rsid w:val="00201816"/>
    <w:rsid w:val="00204262"/>
    <w:rsid w:val="002121EF"/>
    <w:rsid w:val="002166BE"/>
    <w:rsid w:val="00277663"/>
    <w:rsid w:val="002B52BB"/>
    <w:rsid w:val="002E06A3"/>
    <w:rsid w:val="002E46E0"/>
    <w:rsid w:val="002F4428"/>
    <w:rsid w:val="003013B4"/>
    <w:rsid w:val="003228A6"/>
    <w:rsid w:val="003302CC"/>
    <w:rsid w:val="003505B4"/>
    <w:rsid w:val="00357FC3"/>
    <w:rsid w:val="003713B3"/>
    <w:rsid w:val="00374270"/>
    <w:rsid w:val="003E3958"/>
    <w:rsid w:val="003F00C4"/>
    <w:rsid w:val="00406F5B"/>
    <w:rsid w:val="00485894"/>
    <w:rsid w:val="004A446B"/>
    <w:rsid w:val="00593AFA"/>
    <w:rsid w:val="005A659E"/>
    <w:rsid w:val="005C587E"/>
    <w:rsid w:val="0060622A"/>
    <w:rsid w:val="006218F2"/>
    <w:rsid w:val="00653B02"/>
    <w:rsid w:val="006636CC"/>
    <w:rsid w:val="006733BA"/>
    <w:rsid w:val="006A110D"/>
    <w:rsid w:val="0072162F"/>
    <w:rsid w:val="0072764D"/>
    <w:rsid w:val="00734193"/>
    <w:rsid w:val="007372BA"/>
    <w:rsid w:val="00767D19"/>
    <w:rsid w:val="00770F43"/>
    <w:rsid w:val="007761C7"/>
    <w:rsid w:val="00776855"/>
    <w:rsid w:val="007C1382"/>
    <w:rsid w:val="007C7BCA"/>
    <w:rsid w:val="007F48C2"/>
    <w:rsid w:val="008901BF"/>
    <w:rsid w:val="008C2F44"/>
    <w:rsid w:val="009102EA"/>
    <w:rsid w:val="00913738"/>
    <w:rsid w:val="00914650"/>
    <w:rsid w:val="00942A25"/>
    <w:rsid w:val="00983A98"/>
    <w:rsid w:val="00984F0C"/>
    <w:rsid w:val="009A5BFE"/>
    <w:rsid w:val="009E4A30"/>
    <w:rsid w:val="009F39B7"/>
    <w:rsid w:val="00A312BC"/>
    <w:rsid w:val="00A41BEF"/>
    <w:rsid w:val="00A738C3"/>
    <w:rsid w:val="00A95CA5"/>
    <w:rsid w:val="00AA2029"/>
    <w:rsid w:val="00AA2578"/>
    <w:rsid w:val="00AA5C86"/>
    <w:rsid w:val="00AD40BB"/>
    <w:rsid w:val="00B15088"/>
    <w:rsid w:val="00B426E6"/>
    <w:rsid w:val="00BD1742"/>
    <w:rsid w:val="00C01F6D"/>
    <w:rsid w:val="00C20501"/>
    <w:rsid w:val="00C227EC"/>
    <w:rsid w:val="00C527E3"/>
    <w:rsid w:val="00C635F3"/>
    <w:rsid w:val="00C73A48"/>
    <w:rsid w:val="00C73D72"/>
    <w:rsid w:val="00CA5B01"/>
    <w:rsid w:val="00CC22CE"/>
    <w:rsid w:val="00CF6C9C"/>
    <w:rsid w:val="00CF6D28"/>
    <w:rsid w:val="00D26E7D"/>
    <w:rsid w:val="00DB0F7B"/>
    <w:rsid w:val="00DD5EB8"/>
    <w:rsid w:val="00DE15AA"/>
    <w:rsid w:val="00E25BAE"/>
    <w:rsid w:val="00E50748"/>
    <w:rsid w:val="00E77022"/>
    <w:rsid w:val="00E806C2"/>
    <w:rsid w:val="00EF31D8"/>
    <w:rsid w:val="00F577AB"/>
    <w:rsid w:val="00FB35B6"/>
    <w:rsid w:val="00FB584B"/>
    <w:rsid w:val="00FF5C3D"/>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D60E90-07AD-4EF7-BEE6-31290F7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6B"/>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52BB"/>
    <w:rPr>
      <w:rFonts w:cs="Times New Roman"/>
      <w:color w:val="0000FF"/>
      <w:u w:val="single"/>
    </w:rPr>
  </w:style>
  <w:style w:type="paragraph" w:styleId="a4">
    <w:name w:val="Balloon Text"/>
    <w:basedOn w:val="a"/>
    <w:link w:val="a5"/>
    <w:uiPriority w:val="99"/>
    <w:semiHidden/>
    <w:rsid w:val="00204262"/>
    <w:rPr>
      <w:rFonts w:ascii="Segoe UI" w:hAnsi="Segoe UI" w:cs="Segoe UI"/>
      <w:sz w:val="18"/>
      <w:szCs w:val="18"/>
    </w:rPr>
  </w:style>
  <w:style w:type="character" w:customStyle="1" w:styleId="a5">
    <w:name w:val="Текст выноски Знак"/>
    <w:link w:val="a4"/>
    <w:uiPriority w:val="99"/>
    <w:semiHidden/>
    <w:locked/>
    <w:rsid w:val="00204262"/>
    <w:rPr>
      <w:rFonts w:ascii="Segoe UI" w:hAnsi="Segoe UI" w:cs="Segoe UI"/>
      <w:sz w:val="18"/>
      <w:szCs w:val="18"/>
    </w:rPr>
  </w:style>
  <w:style w:type="character" w:styleId="a6">
    <w:name w:val="annotation reference"/>
    <w:uiPriority w:val="99"/>
    <w:semiHidden/>
    <w:rsid w:val="00AA2029"/>
    <w:rPr>
      <w:rFonts w:cs="Times New Roman"/>
      <w:sz w:val="16"/>
      <w:szCs w:val="16"/>
    </w:rPr>
  </w:style>
  <w:style w:type="paragraph" w:styleId="a7">
    <w:name w:val="annotation text"/>
    <w:basedOn w:val="a"/>
    <w:link w:val="a8"/>
    <w:uiPriority w:val="99"/>
    <w:semiHidden/>
    <w:rsid w:val="00AA2029"/>
    <w:rPr>
      <w:sz w:val="20"/>
      <w:szCs w:val="20"/>
    </w:rPr>
  </w:style>
  <w:style w:type="character" w:customStyle="1" w:styleId="a8">
    <w:name w:val="Текст примечания Знак"/>
    <w:link w:val="a7"/>
    <w:uiPriority w:val="99"/>
    <w:semiHidden/>
    <w:locked/>
    <w:rsid w:val="00AA2029"/>
    <w:rPr>
      <w:rFonts w:ascii="Calibri" w:hAnsi="Calibri" w:cs="Times New Roman"/>
      <w:sz w:val="20"/>
      <w:szCs w:val="20"/>
    </w:rPr>
  </w:style>
  <w:style w:type="paragraph" w:styleId="a9">
    <w:name w:val="annotation subject"/>
    <w:basedOn w:val="a7"/>
    <w:next w:val="a7"/>
    <w:link w:val="aa"/>
    <w:uiPriority w:val="99"/>
    <w:semiHidden/>
    <w:rsid w:val="00AA2029"/>
    <w:rPr>
      <w:b/>
      <w:bCs/>
    </w:rPr>
  </w:style>
  <w:style w:type="character" w:customStyle="1" w:styleId="aa">
    <w:name w:val="Тема примечания Знак"/>
    <w:link w:val="a9"/>
    <w:uiPriority w:val="99"/>
    <w:semiHidden/>
    <w:locked/>
    <w:rsid w:val="00AA2029"/>
    <w:rPr>
      <w:rFonts w:ascii="Calibri" w:hAnsi="Calibri" w:cs="Times New Roman"/>
      <w:b/>
      <w:bCs/>
      <w:sz w:val="20"/>
      <w:szCs w:val="20"/>
    </w:rPr>
  </w:style>
  <w:style w:type="paragraph" w:styleId="ab">
    <w:name w:val="header"/>
    <w:basedOn w:val="a"/>
    <w:link w:val="ac"/>
    <w:uiPriority w:val="99"/>
    <w:unhideWhenUsed/>
    <w:rsid w:val="00FB35B6"/>
    <w:pPr>
      <w:tabs>
        <w:tab w:val="center" w:pos="4677"/>
        <w:tab w:val="right" w:pos="9355"/>
      </w:tabs>
    </w:pPr>
  </w:style>
  <w:style w:type="character" w:customStyle="1" w:styleId="ac">
    <w:name w:val="Верхний колонтитул Знак"/>
    <w:link w:val="ab"/>
    <w:uiPriority w:val="99"/>
    <w:rsid w:val="00FB35B6"/>
    <w:rPr>
      <w:sz w:val="22"/>
      <w:szCs w:val="22"/>
      <w:lang w:val="uk-UA" w:eastAsia="en-US"/>
    </w:rPr>
  </w:style>
  <w:style w:type="paragraph" w:styleId="ad">
    <w:name w:val="footer"/>
    <w:basedOn w:val="a"/>
    <w:link w:val="ae"/>
    <w:uiPriority w:val="99"/>
    <w:unhideWhenUsed/>
    <w:rsid w:val="00FB35B6"/>
    <w:pPr>
      <w:tabs>
        <w:tab w:val="center" w:pos="4677"/>
        <w:tab w:val="right" w:pos="9355"/>
      </w:tabs>
    </w:pPr>
  </w:style>
  <w:style w:type="character" w:customStyle="1" w:styleId="ae">
    <w:name w:val="Нижний колонтитул Знак"/>
    <w:link w:val="ad"/>
    <w:uiPriority w:val="99"/>
    <w:rsid w:val="00FB35B6"/>
    <w:rPr>
      <w:sz w:val="22"/>
      <w:szCs w:val="22"/>
      <w:lang w:val="uk-UA" w:eastAsia="en-US"/>
    </w:rPr>
  </w:style>
  <w:style w:type="table" w:styleId="af">
    <w:name w:val="Table Grid"/>
    <w:basedOn w:val="a1"/>
    <w:locked/>
    <w:rsid w:val="006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5B0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08714">
      <w:marLeft w:val="0"/>
      <w:marRight w:val="0"/>
      <w:marTop w:val="0"/>
      <w:marBottom w:val="0"/>
      <w:divBdr>
        <w:top w:val="none" w:sz="0" w:space="0" w:color="auto"/>
        <w:left w:val="none" w:sz="0" w:space="0" w:color="auto"/>
        <w:bottom w:val="none" w:sz="0" w:space="0" w:color="auto"/>
        <w:right w:val="none" w:sz="0" w:space="0" w:color="auto"/>
      </w:divBdr>
    </w:div>
    <w:div w:id="1373308715">
      <w:marLeft w:val="0"/>
      <w:marRight w:val="0"/>
      <w:marTop w:val="0"/>
      <w:marBottom w:val="0"/>
      <w:divBdr>
        <w:top w:val="none" w:sz="0" w:space="0" w:color="auto"/>
        <w:left w:val="none" w:sz="0" w:space="0" w:color="auto"/>
        <w:bottom w:val="none" w:sz="0" w:space="0" w:color="auto"/>
        <w:right w:val="none" w:sz="0" w:space="0" w:color="auto"/>
      </w:divBdr>
    </w:div>
    <w:div w:id="1865168748">
      <w:bodyDiv w:val="1"/>
      <w:marLeft w:val="0"/>
      <w:marRight w:val="0"/>
      <w:marTop w:val="0"/>
      <w:marBottom w:val="0"/>
      <w:divBdr>
        <w:top w:val="none" w:sz="0" w:space="0" w:color="auto"/>
        <w:left w:val="none" w:sz="0" w:space="0" w:color="auto"/>
        <w:bottom w:val="none" w:sz="0" w:space="0" w:color="auto"/>
        <w:right w:val="none" w:sz="0" w:space="0" w:color="auto"/>
      </w:divBdr>
    </w:div>
    <w:div w:id="20337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rdbusinessle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nom_ndar@i.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lilot@ebrd.com" TargetMode="External"/><Relationship Id="rId5" Type="http://schemas.openxmlformats.org/officeDocument/2006/relationships/footnotes" Target="footnotes.xml"/><Relationship Id="rId10" Type="http://schemas.openxmlformats.org/officeDocument/2006/relationships/hyperlink" Target="mailto:knowhowukraine@ebrd.com" TargetMode="External"/><Relationship Id="rId4" Type="http://schemas.openxmlformats.org/officeDocument/2006/relationships/webSettings" Target="webSettings.xml"/><Relationship Id="rId9" Type="http://schemas.openxmlformats.org/officeDocument/2006/relationships/hyperlink" Target="https://form.jotformeu.com/71942332028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cp:revision>
  <cp:lastPrinted>2019-02-05T13:33:00Z</cp:lastPrinted>
  <dcterms:created xsi:type="dcterms:W3CDTF">2019-02-27T10:52:00Z</dcterms:created>
  <dcterms:modified xsi:type="dcterms:W3CDTF">2019-02-27T10:52:00Z</dcterms:modified>
</cp:coreProperties>
</file>