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C8" w:rsidRDefault="00BB13BC" w:rsidP="00BB13BC">
      <w:pPr>
        <w:spacing w:line="259" w:lineRule="auto"/>
        <w:jc w:val="center"/>
        <w:rPr>
          <w:rFonts w:ascii="Times New Roman" w:hAnsi="Times New Roman"/>
          <w:b/>
          <w:sz w:val="28"/>
          <w:szCs w:val="28"/>
          <w:lang w:eastAsia="ru-RU"/>
        </w:rPr>
      </w:pPr>
      <w:r w:rsidRPr="00BB13BC">
        <w:rPr>
          <w:rFonts w:ascii="Times New Roman" w:hAnsi="Times New Roman"/>
          <w:b/>
          <w:sz w:val="28"/>
          <w:szCs w:val="28"/>
          <w:lang w:eastAsia="ru-RU"/>
        </w:rPr>
        <w:t>Запровадження Програми з відновлення фінансування інвестиційних проектів мікро, малих та середніх підприємств на Луганщині</w:t>
      </w:r>
    </w:p>
    <w:p w:rsidR="00BB13BC" w:rsidRPr="00BB13BC" w:rsidRDefault="00BB13BC" w:rsidP="00BB13BC">
      <w:pPr>
        <w:spacing w:line="259" w:lineRule="auto"/>
        <w:jc w:val="center"/>
        <w:rPr>
          <w:rFonts w:ascii="Times New Roman" w:hAnsi="Times New Roman"/>
          <w:b/>
          <w:sz w:val="28"/>
          <w:szCs w:val="28"/>
        </w:rPr>
      </w:pP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В рамках Угоди «Підтримка ЄС для Сходу України» (Угода) між Урядом України в особі Міністерства економічного розвитку і торгівлі України та Європейською Комісією, що діє від імені Європейського Союзу, було розроблено та затверджено Програму з відновлення фінансування інвестиційних проектів мікро, малих та середніх підприємств (ММСП) в Донецькій та Луганській областях (Програма) за Компонентом 2 Угоди «Економічне відновлення та розвиток ММСП. Доступ до фінансування».</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Програма реалізується Німецьким державним банком розвитку (KfW) через Німецько-Український Фонд (НУФ).</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Мета Програми - відновлення фінансування інвестиційних проектів ММСП, які зареєстровані та/або здійснюють свою підприємницьку діяльність на підконтрольних уряду України територіях Донецької та Луганської областей, через банківські та лізингові установи.</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Реалізація Програми сприятиме збільшенню інвестиційної та економічної активності в регіоні, що позитивно вплине на вирішення проблеми переселенців.</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Установи-партнери Програми: АТ «Ощадбанк», АБ «Укргазбанк», компанія «ОТП Лізинг».</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Учасники Програми: мікро (кількість працюючих — до 20 осіб, річний дохід - до 2 млн євро), малі (до 50 осіб, річний дохід — до 5 млн євро) та середні (до 250 осіб, річний дохід — до 10 млн євро) підприємства, які зареєстровані в Донецькій і Луганській областях та знаходяться не ближче 5 км від лінії розмежування.</w:t>
      </w:r>
    </w:p>
    <w:p w:rsid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Загальна сума фінансової підтримки за Програмою складає 9,5 млн євро.</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Програмою підтримується реалізація інвестиційних проектів без обмежень за видами економічної діяльності. Проекти мають відповідати екологічним та соціальним стандартам Європейського Союзу.</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Розмір компенсації для ММСП складає 50% від суми інвестиційного проекту. Максимальна сума такої компенсації - 150,0 тис. євро в гривневому еквіваленті.</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Мінімальний строк кредиту або лізингу - 2 роки.</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Відсоткова ставка — на рівні середньоринкової по Україні.</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Протягом 1 року заборонено дострокове погашення кредиту.</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Активна фаза дії Програми розпочнеться з вересня 2019 року.</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За більш детальною інформацією щодо участі у Програмі можна звернутися до установ-партнерів Програми: AT «Ощадбанк», АБ «Укргазбанк» (їх філій і відділень у Луганській області), компанії «ОТП Лізинг».</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Контакти банків-партнерів в області:</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філія-Луганське обласне управління AT «Ощадбанк», вул. Енергетиків, 36, м. Сєвєродонецьк, 93400; тел: 050 322 81 16;</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відділення №</w:t>
      </w:r>
      <w:r w:rsidRPr="002F7488">
        <w:rPr>
          <w:rFonts w:ascii="Times New Roman" w:hAnsi="Times New Roman"/>
          <w:sz w:val="28"/>
          <w:szCs w:val="28"/>
        </w:rPr>
        <w:tab/>
        <w:t>356/12 АБ «Укргазбанк», пр. Центральний, 59,</w:t>
      </w:r>
    </w:p>
    <w:p w:rsidR="002F7488" w:rsidRPr="002F7488" w:rsidRDefault="002F7488" w:rsidP="002F7488">
      <w:pPr>
        <w:spacing w:line="259" w:lineRule="auto"/>
        <w:jc w:val="both"/>
        <w:rPr>
          <w:rFonts w:ascii="Times New Roman" w:hAnsi="Times New Roman"/>
          <w:sz w:val="28"/>
          <w:szCs w:val="28"/>
        </w:rPr>
      </w:pPr>
      <w:r w:rsidRPr="002F7488">
        <w:rPr>
          <w:rFonts w:ascii="Times New Roman" w:hAnsi="Times New Roman"/>
          <w:sz w:val="28"/>
          <w:szCs w:val="28"/>
        </w:rPr>
        <w:lastRenderedPageBreak/>
        <w:t>м. Сєвєродонецьк, тел: (06452) 2 73 64; 2 19 78; 050 477 49 27.</w:t>
      </w:r>
    </w:p>
    <w:p w:rsidR="002F7488" w:rsidRPr="002F7488" w:rsidRDefault="002F7488" w:rsidP="002F7488">
      <w:pPr>
        <w:spacing w:line="259" w:lineRule="auto"/>
        <w:ind w:firstLine="708"/>
        <w:jc w:val="both"/>
        <w:rPr>
          <w:rFonts w:ascii="Times New Roman" w:hAnsi="Times New Roman"/>
          <w:sz w:val="28"/>
          <w:szCs w:val="28"/>
        </w:rPr>
      </w:pPr>
      <w:r w:rsidRPr="002F7488">
        <w:rPr>
          <w:rFonts w:ascii="Times New Roman" w:hAnsi="Times New Roman"/>
          <w:sz w:val="28"/>
          <w:szCs w:val="28"/>
        </w:rPr>
        <w:t>Інформацію про Програму можна знайти також за посиланням: http ://guf. gov.ua/.</w:t>
      </w:r>
    </w:p>
    <w:p w:rsidR="002F7488" w:rsidRPr="002F7488" w:rsidRDefault="002F7488" w:rsidP="002F7488">
      <w:pPr>
        <w:spacing w:line="259" w:lineRule="auto"/>
        <w:ind w:firstLine="708"/>
        <w:jc w:val="both"/>
        <w:rPr>
          <w:rFonts w:ascii="Times New Roman" w:hAnsi="Times New Roman"/>
          <w:sz w:val="28"/>
          <w:szCs w:val="28"/>
        </w:rPr>
      </w:pPr>
      <w:bookmarkStart w:id="0" w:name="_GoBack"/>
      <w:bookmarkEnd w:id="0"/>
    </w:p>
    <w:p w:rsidR="002F7488" w:rsidRPr="002F7488" w:rsidRDefault="002F7488" w:rsidP="002F7488">
      <w:pPr>
        <w:spacing w:line="259" w:lineRule="auto"/>
        <w:jc w:val="both"/>
        <w:rPr>
          <w:rFonts w:ascii="Times New Roman" w:hAnsi="Times New Roman"/>
          <w:sz w:val="28"/>
          <w:szCs w:val="28"/>
        </w:rPr>
      </w:pPr>
      <w:r w:rsidRPr="002F7488">
        <w:rPr>
          <w:rFonts w:ascii="Times New Roman" w:hAnsi="Times New Roman"/>
          <w:sz w:val="28"/>
          <w:szCs w:val="28"/>
        </w:rPr>
        <w:t>Додаток: презентаційний матеріал Програми з відновлення фінансування малих</w:t>
      </w:r>
    </w:p>
    <w:p w:rsidR="002F7488" w:rsidRDefault="002F7488" w:rsidP="002F7488">
      <w:pPr>
        <w:spacing w:line="259" w:lineRule="auto"/>
        <w:ind w:firstLine="708"/>
        <w:jc w:val="both"/>
        <w:rPr>
          <w:rFonts w:ascii="Times New Roman" w:hAnsi="Times New Roman"/>
          <w:sz w:val="28"/>
          <w:szCs w:val="28"/>
        </w:rPr>
      </w:pPr>
      <w:r>
        <w:rPr>
          <w:rFonts w:ascii="Times New Roman" w:hAnsi="Times New Roman"/>
          <w:sz w:val="28"/>
          <w:szCs w:val="28"/>
        </w:rPr>
        <w:t xml:space="preserve">      </w:t>
      </w:r>
      <w:r w:rsidRPr="002F7488">
        <w:rPr>
          <w:rFonts w:ascii="Times New Roman" w:hAnsi="Times New Roman"/>
          <w:sz w:val="28"/>
          <w:szCs w:val="28"/>
        </w:rPr>
        <w:t>та середніх підприємств на Сході України на 9 арк. в 1 прим.</w:t>
      </w:r>
    </w:p>
    <w:p w:rsidR="002F7488" w:rsidRDefault="002F7488" w:rsidP="005C587E">
      <w:pPr>
        <w:spacing w:line="259" w:lineRule="auto"/>
        <w:jc w:val="both"/>
        <w:rPr>
          <w:rFonts w:ascii="Times New Roman" w:hAnsi="Times New Roman"/>
          <w:sz w:val="28"/>
          <w:szCs w:val="28"/>
        </w:rPr>
      </w:pPr>
    </w:p>
    <w:p w:rsidR="002F7488" w:rsidRDefault="002F7488" w:rsidP="005C587E">
      <w:pPr>
        <w:spacing w:line="259" w:lineRule="auto"/>
        <w:jc w:val="both"/>
        <w:rPr>
          <w:rFonts w:ascii="Times New Roman" w:hAnsi="Times New Roman"/>
          <w:sz w:val="28"/>
          <w:szCs w:val="28"/>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5C587E" w:rsidRPr="00CF6C9C" w:rsidRDefault="005C587E" w:rsidP="005C587E">
      <w:pPr>
        <w:spacing w:line="259" w:lineRule="auto"/>
        <w:jc w:val="both"/>
        <w:rPr>
          <w:rFonts w:ascii="Times New Roman" w:hAnsi="Times New Roman"/>
          <w:sz w:val="20"/>
          <w:szCs w:val="20"/>
        </w:rPr>
      </w:pPr>
      <w:r w:rsidRPr="00CF6C9C">
        <w:rPr>
          <w:rFonts w:ascii="Times New Roman" w:hAnsi="Times New Roman"/>
          <w:sz w:val="20"/>
          <w:szCs w:val="20"/>
        </w:rPr>
        <w:t xml:space="preserve">Валентина Каширіна, </w:t>
      </w:r>
      <w:r w:rsidRPr="00C20501">
        <w:rPr>
          <w:rFonts w:ascii="Times New Roman" w:hAnsi="Times New Roman"/>
          <w:sz w:val="20"/>
          <w:szCs w:val="20"/>
          <w:lang w:val="ru-RU"/>
        </w:rPr>
        <w:t>(064450)</w:t>
      </w:r>
      <w:r w:rsidRPr="00CF6C9C">
        <w:rPr>
          <w:rFonts w:ascii="Times New Roman" w:hAnsi="Times New Roman"/>
          <w:sz w:val="20"/>
          <w:szCs w:val="20"/>
        </w:rPr>
        <w:t>94538</w:t>
      </w:r>
    </w:p>
    <w:p w:rsidR="002F4428" w:rsidRDefault="002F4428" w:rsidP="002E46E0">
      <w:pPr>
        <w:spacing w:line="259" w:lineRule="auto"/>
        <w:jc w:val="both"/>
        <w:rPr>
          <w:rFonts w:ascii="Times New Roman" w:hAnsi="Times New Roman"/>
          <w:b/>
          <w:sz w:val="28"/>
          <w:szCs w:val="28"/>
        </w:rPr>
      </w:pPr>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Додаток </w:t>
      </w:r>
      <w:r w:rsidR="00715F82">
        <w:rPr>
          <w:rFonts w:ascii="Times New Roman" w:eastAsia="Times New Roman" w:hAnsi="Times New Roman"/>
          <w:sz w:val="26"/>
          <w:szCs w:val="20"/>
          <w:lang w:val="ru-RU" w:eastAsia="ru-RU"/>
        </w:rPr>
        <w:t>1</w:t>
      </w:r>
      <w:r w:rsidRPr="005C587E">
        <w:rPr>
          <w:rFonts w:ascii="Times New Roman" w:eastAsia="Times New Roman" w:hAnsi="Times New Roman"/>
          <w:sz w:val="26"/>
          <w:szCs w:val="20"/>
          <w:lang w:val="ru-RU" w:eastAsia="ru-RU"/>
        </w:rPr>
        <w:t xml:space="preserve"> </w:t>
      </w:r>
    </w:p>
    <w:p w:rsidR="005C587E" w:rsidRDefault="005C587E" w:rsidP="005C587E">
      <w:pPr>
        <w:jc w:val="center"/>
        <w:rPr>
          <w:rFonts w:ascii="Times New Roman" w:eastAsia="Times New Roman" w:hAnsi="Times New Roman"/>
          <w:b/>
          <w:sz w:val="26"/>
          <w:szCs w:val="28"/>
          <w:lang w:eastAsia="ru-RU"/>
        </w:rPr>
      </w:pPr>
    </w:p>
    <w:p w:rsidR="005C587E" w:rsidRPr="005C587E" w:rsidRDefault="005C587E" w:rsidP="005C587E">
      <w:pPr>
        <w:jc w:val="center"/>
        <w:rPr>
          <w:rFonts w:ascii="Times New Roman" w:eastAsia="Times New Roman" w:hAnsi="Times New Roman"/>
          <w:b/>
          <w:sz w:val="26"/>
          <w:szCs w:val="28"/>
          <w:lang w:eastAsia="ru-RU"/>
        </w:rPr>
      </w:pPr>
      <w:r w:rsidRPr="005C587E">
        <w:rPr>
          <w:rFonts w:ascii="Times New Roman" w:eastAsia="Times New Roman" w:hAnsi="Times New Roman"/>
          <w:b/>
          <w:sz w:val="26"/>
          <w:szCs w:val="28"/>
          <w:lang w:eastAsia="ru-RU"/>
        </w:rPr>
        <w:t>Програма грантової підтримки ЕБРР для МСБ</w:t>
      </w:r>
    </w:p>
    <w:p w:rsidR="005C587E" w:rsidRPr="005C587E" w:rsidRDefault="005C587E" w:rsidP="005C587E">
      <w:pPr>
        <w:jc w:val="right"/>
        <w:rPr>
          <w:rFonts w:ascii="Times New Roman" w:eastAsia="Times New Roman" w:hAnsi="Times New Roman"/>
          <w:sz w:val="26"/>
          <w:szCs w:val="28"/>
          <w:lang w:eastAsia="ru-RU"/>
        </w:rPr>
      </w:pP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Грантова програма консалтингових проектів ЄБРР розроблена для того, щоб надати малому та середньому бізнесу унікальну можливість для розвитку шляхом залучення кваліфікованих та досвідчених консультантів на умовах часткової компенсації вартості проекту.</w:t>
      </w: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Роки успішної реалізації Програми на прикладах демонструють, як консалтингові проекти, які допомагають бізнесу отримати інструменти, навички і знання, необхідні для масштабування бізнесу, залучення фінансування, виходу на зовнішні ринки тощо.  </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Ми допомагаємо:</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sz w:val="26"/>
          <w:szCs w:val="28"/>
          <w:lang w:eastAsia="ru-RU"/>
        </w:rPr>
        <w:t>1) </w:t>
      </w:r>
      <w:r w:rsidRPr="005C587E">
        <w:rPr>
          <w:rFonts w:ascii="Times New Roman" w:eastAsia="Times New Roman" w:hAnsi="Times New Roman"/>
          <w:iCs/>
          <w:sz w:val="26"/>
          <w:szCs w:val="28"/>
          <w:lang w:eastAsia="ru-RU"/>
        </w:rPr>
        <w:t>Провести Вам загальну попередню бізнес-діагностику на першій зустрічі з аналітиком ЄБРР</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2) Залучити професійних консультантів та в подальшому використати їхні знання та інструменти для розвитку Вашого бізнесу</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3) Надаємо супровід проекту від самого початку до його завершення</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4) Компенсуємо частину вартості проекту (від 50% від вартості проекту, для проектів з енергоефективності компенсація становить 75%)</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5) Знижуємо ризик невдалого проекту.</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b/>
          <w:bCs/>
          <w:sz w:val="26"/>
          <w:szCs w:val="28"/>
          <w:lang w:eastAsia="ru-RU"/>
        </w:rPr>
        <w:t>Напрямки консалтингового проекту:</w:t>
      </w:r>
      <w:r w:rsidRPr="005C587E">
        <w:rPr>
          <w:rFonts w:ascii="Times New Roman" w:eastAsia="Times New Roman" w:hAnsi="Times New Roman"/>
          <w:sz w:val="26"/>
          <w:szCs w:val="28"/>
          <w:lang w:eastAsia="ru-RU"/>
        </w:rPr>
        <w:t xml:space="preserve"> </w:t>
      </w:r>
      <w:r w:rsidRPr="005C587E">
        <w:rPr>
          <w:rFonts w:ascii="Times New Roman" w:eastAsia="Times New Roman" w:hAnsi="Times New Roman"/>
          <w:bCs/>
          <w:iCs/>
          <w:sz w:val="26"/>
          <w:szCs w:val="28"/>
          <w:lang w:eastAsia="ru-RU"/>
        </w:rPr>
        <w:t xml:space="preserve">інформаційні технології, системи якості, стратегія, маркетинг, організаційне консультування, операційна ефективність, </w:t>
      </w:r>
      <w:r w:rsidRPr="00FD66B7">
        <w:rPr>
          <w:rFonts w:ascii="Times New Roman" w:eastAsia="Times New Roman" w:hAnsi="Times New Roman"/>
          <w:bCs/>
          <w:iCs/>
          <w:sz w:val="26"/>
          <w:szCs w:val="28"/>
          <w:highlight w:val="yellow"/>
          <w:lang w:eastAsia="ru-RU"/>
        </w:rPr>
        <w:t>інженерні рішення</w:t>
      </w:r>
      <w:r w:rsidRPr="005C587E">
        <w:rPr>
          <w:rFonts w:ascii="Times New Roman" w:eastAsia="Times New Roman" w:hAnsi="Times New Roman"/>
          <w:bCs/>
          <w:iCs/>
          <w:sz w:val="26"/>
          <w:szCs w:val="28"/>
          <w:lang w:eastAsia="ru-RU"/>
        </w:rPr>
        <w:t>, енергоефективність, управління фінансами.</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Вимоги до бізнесу, що може отримати грант на консалтинговий проект:</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 xml:space="preserve">- </w:t>
      </w:r>
      <w:r w:rsidRPr="005C587E">
        <w:rPr>
          <w:rFonts w:ascii="Times New Roman" w:eastAsia="Times New Roman" w:hAnsi="Times New Roman"/>
          <w:bCs/>
          <w:iCs/>
          <w:sz w:val="26"/>
          <w:szCs w:val="28"/>
          <w:lang w:eastAsia="ru-RU"/>
        </w:rPr>
        <w:t>більше 2-х років на ринку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більше 50% компанії належить громадянам України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xml:space="preserve">- </w:t>
      </w:r>
      <w:r w:rsidRPr="00FD66B7">
        <w:rPr>
          <w:rFonts w:ascii="Times New Roman" w:eastAsia="Times New Roman" w:hAnsi="Times New Roman"/>
          <w:bCs/>
          <w:iCs/>
          <w:sz w:val="26"/>
          <w:szCs w:val="28"/>
          <w:highlight w:val="yellow"/>
          <w:lang w:eastAsia="ru-RU"/>
        </w:rPr>
        <w:t>від 10 до 250 співробітників у штаті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потенціал для розвитку, наявність конкурентних переваг</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гарна ділова репутація власників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потреба у залученні консультанта</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Перелік необхідних документів: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анкети-заявки за підписом директора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виписки з державного реєстру компаній або електронної виписки з державного реєстру за підписом директора компанії 2016-2017 рр.;</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річних фінансових звітів (форми 1 та 2) за останні два роки, завірені печаткою держоргану про їх отримання або із електронними квитанціями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Про отримання звітів держорганом, що подавались в електронному виді (для ФОП- річні податкові накладні так само завірені);</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статуту компанії (або копії всіх сторінок паспорту для ФОП);</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PDF звіт, який надсилається Вашій компанії по результатам проходження опитувальника Busniess Lens</w:t>
      </w:r>
      <w:r w:rsidRPr="005C587E">
        <w:rPr>
          <w:rFonts w:ascii="Times New Roman" w:eastAsia="Times New Roman" w:hAnsi="Times New Roman"/>
          <w:sz w:val="26"/>
          <w:szCs w:val="28"/>
          <w:lang w:eastAsia="ru-RU"/>
        </w:rPr>
        <w:t> </w:t>
      </w:r>
      <w:r w:rsidRPr="005C587E">
        <w:rPr>
          <w:rFonts w:ascii="Times New Roman" w:eastAsia="Times New Roman" w:hAnsi="Times New Roman"/>
          <w:bCs/>
          <w:iCs/>
          <w:sz w:val="26"/>
          <w:szCs w:val="28"/>
          <w:lang w:eastAsia="ru-RU"/>
        </w:rPr>
        <w:t>за підписом керівника</w:t>
      </w:r>
      <w:r w:rsidRPr="005C587E">
        <w:rPr>
          <w:rFonts w:ascii="Times New Roman" w:eastAsia="Times New Roman" w:hAnsi="Times New Roman"/>
          <w:sz w:val="26"/>
          <w:szCs w:val="28"/>
          <w:lang w:eastAsia="ru-RU"/>
        </w:rPr>
        <w:t>(</w:t>
      </w:r>
      <w:hyperlink r:id="rId7" w:tgtFrame="_blank" w:history="1">
        <w:r w:rsidRPr="005C587E">
          <w:rPr>
            <w:rFonts w:ascii="Times New Roman" w:eastAsia="Times New Roman" w:hAnsi="Times New Roman"/>
            <w:sz w:val="26"/>
            <w:szCs w:val="28"/>
            <w:u w:val="single"/>
            <w:lang w:eastAsia="ru-RU"/>
          </w:rPr>
          <w:t>http://ebrdbusinesslens.com/</w:t>
        </w:r>
      </w:hyperlink>
      <w:r w:rsidRPr="005C587E">
        <w:rPr>
          <w:rFonts w:ascii="Times New Roman" w:eastAsia="Times New Roman" w:hAnsi="Times New Roman"/>
          <w:sz w:val="26"/>
          <w:szCs w:val="28"/>
          <w:lang w:eastAsia="ru-RU"/>
        </w:rPr>
        <w:t>) .</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Прохання також заповнити короткий відгук стосовно корисності даного інструменту -</w:t>
      </w:r>
      <w:r w:rsidRPr="005C587E">
        <w:rPr>
          <w:rFonts w:ascii="Times New Roman" w:eastAsia="Times New Roman" w:hAnsi="Times New Roman"/>
          <w:sz w:val="26"/>
          <w:szCs w:val="28"/>
          <w:lang w:eastAsia="ru-RU"/>
        </w:rPr>
        <w:t> </w:t>
      </w:r>
      <w:hyperlink r:id="rId8" w:tgtFrame="_blank" w:history="1">
        <w:r w:rsidRPr="005C587E">
          <w:rPr>
            <w:rFonts w:ascii="Times New Roman" w:eastAsia="Times New Roman" w:hAnsi="Times New Roman"/>
            <w:sz w:val="26"/>
            <w:szCs w:val="28"/>
            <w:u w:val="single"/>
            <w:lang w:eastAsia="ru-RU"/>
          </w:rPr>
          <w:t>https://form.jotformeu.com/71942332028351</w:t>
        </w:r>
      </w:hyperlink>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Кроки до старту консалтингового проекту:</w:t>
      </w:r>
    </w:p>
    <w:tbl>
      <w:tblPr>
        <w:tblW w:w="0" w:type="auto"/>
        <w:shd w:val="clear" w:color="auto" w:fill="FFFFFF"/>
        <w:tblCellMar>
          <w:left w:w="0" w:type="dxa"/>
          <w:right w:w="0" w:type="dxa"/>
        </w:tblCellMar>
        <w:tblLook w:val="04A0" w:firstRow="1" w:lastRow="0" w:firstColumn="1" w:lastColumn="0" w:noHBand="0" w:noVBand="1"/>
      </w:tblPr>
      <w:tblGrid>
        <w:gridCol w:w="559"/>
        <w:gridCol w:w="9017"/>
      </w:tblGrid>
      <w:tr w:rsidR="005C587E" w:rsidRPr="005C587E" w:rsidTr="005C587E">
        <w:tc>
          <w:tcPr>
            <w:tcW w:w="95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В середньому процес відбору учасників триває 2-4 тижні.</w:t>
            </w:r>
          </w:p>
        </w:tc>
      </w:tr>
      <w:tr w:rsidR="005C587E" w:rsidRPr="005C587E" w:rsidTr="005C587E">
        <w:trPr>
          <w:trHeight w:val="679"/>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1</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Заповнити анкету та надіслати, разом із необхідними документами, на електронні адреси </w:t>
            </w:r>
            <w:hyperlink r:id="rId9" w:tgtFrame="_blank" w:history="1">
              <w:r w:rsidRPr="005C587E">
                <w:rPr>
                  <w:rFonts w:ascii="Times New Roman" w:eastAsia="Times New Roman" w:hAnsi="Times New Roman"/>
                  <w:bCs/>
                  <w:sz w:val="26"/>
                  <w:szCs w:val="28"/>
                  <w:u w:val="single"/>
                  <w:lang w:eastAsia="ru-RU"/>
                </w:rPr>
                <w:t>knowhowukraine@ebrd.com</w:t>
              </w:r>
            </w:hyperlink>
            <w:r w:rsidRPr="005C587E">
              <w:rPr>
                <w:rFonts w:ascii="Times New Roman" w:eastAsia="Times New Roman" w:hAnsi="Times New Roman"/>
                <w:bCs/>
                <w:sz w:val="26"/>
                <w:szCs w:val="28"/>
                <w:u w:val="single"/>
                <w:lang w:eastAsia="ru-RU"/>
              </w:rPr>
              <w:t> </w:t>
            </w:r>
            <w:r w:rsidRPr="005C587E">
              <w:rPr>
                <w:rFonts w:ascii="Times New Roman" w:eastAsia="Times New Roman" w:hAnsi="Times New Roman"/>
                <w:sz w:val="26"/>
                <w:szCs w:val="28"/>
                <w:lang w:eastAsia="ru-RU"/>
              </w:rPr>
              <w:t>та</w:t>
            </w:r>
            <w:r w:rsidRPr="005C587E">
              <w:rPr>
                <w:rFonts w:ascii="Times New Roman" w:eastAsia="Times New Roman" w:hAnsi="Times New Roman"/>
                <w:bCs/>
                <w:sz w:val="26"/>
                <w:szCs w:val="28"/>
                <w:u w:val="single"/>
                <w:lang w:eastAsia="ru-RU"/>
              </w:rPr>
              <w:t> </w:t>
            </w:r>
            <w:hyperlink r:id="rId10" w:tgtFrame="_blank" w:history="1">
              <w:r w:rsidRPr="005C587E">
                <w:rPr>
                  <w:rFonts w:ascii="Times New Roman" w:eastAsia="Times New Roman" w:hAnsi="Times New Roman"/>
                  <w:bCs/>
                  <w:sz w:val="26"/>
                  <w:szCs w:val="28"/>
                  <w:u w:val="single"/>
                  <w:lang w:eastAsia="ru-RU"/>
                </w:rPr>
                <w:t>khalilot@ebrd.com</w:t>
              </w:r>
            </w:hyperlink>
          </w:p>
        </w:tc>
      </w:tr>
      <w:tr w:rsidR="005C587E" w:rsidRPr="005C587E" w:rsidTr="005C587E">
        <w:trPr>
          <w:trHeight w:val="375"/>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2</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Перевірка комплектності наданих документів ЄБРР (2-5 робочі днів).</w:t>
            </w:r>
          </w:p>
        </w:tc>
      </w:tr>
      <w:tr w:rsidR="005C587E" w:rsidRPr="005C587E" w:rsidTr="005C587E">
        <w:trPr>
          <w:trHeight w:val="72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3</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Зустріч представників ЄБРР з менеджментом та/або власниками компанії.</w:t>
            </w:r>
          </w:p>
        </w:tc>
      </w:tr>
      <w:tr w:rsidR="005C587E" w:rsidRPr="005C587E" w:rsidTr="005C587E">
        <w:trPr>
          <w:trHeight w:val="421"/>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4</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Затвердження підприємства на участь у програмі.</w:t>
            </w:r>
          </w:p>
        </w:tc>
      </w:tr>
      <w:tr w:rsidR="005C587E" w:rsidRPr="005C587E" w:rsidTr="005C587E">
        <w:trPr>
          <w:trHeight w:val="41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lastRenderedPageBreak/>
              <w:t>5</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Донесення рішення до компанії, що подала заявку. </w:t>
            </w:r>
          </w:p>
        </w:tc>
      </w:tr>
    </w:tbl>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Вибір консультанта</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Консалтингові послуги надаються консультантами, які п</w:t>
      </w:r>
      <w:r>
        <w:rPr>
          <w:rFonts w:ascii="Times New Roman" w:eastAsia="Times New Roman" w:hAnsi="Times New Roman"/>
          <w:sz w:val="26"/>
          <w:szCs w:val="28"/>
          <w:lang w:eastAsia="ru-RU"/>
        </w:rPr>
        <w:t>е</w:t>
      </w:r>
      <w:r w:rsidRPr="005C587E">
        <w:rPr>
          <w:rFonts w:ascii="Times New Roman" w:eastAsia="Times New Roman" w:hAnsi="Times New Roman"/>
          <w:sz w:val="26"/>
          <w:szCs w:val="28"/>
          <w:lang w:eastAsia="ru-RU"/>
        </w:rPr>
        <w:t>рекваліфіковані згідно процедур ЄБРР. Відбір консультанта відбувається через процедури міні-тендеру. Клієнт обирає консультанта серед трьох кандидатів, запропонованих ЄБРР.</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Клієнт також може самостійно пропонувати консультанта, але якщо цей консультант не має статусу пре-кваліфікованого в ЄБРР, йому необхідно пройти цю процедуру перед початком проекту.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 </w:t>
      </w:r>
    </w:p>
    <w:p w:rsidR="005C587E" w:rsidRPr="005C587E" w:rsidRDefault="005C587E" w:rsidP="005C587E">
      <w:pPr>
        <w:spacing w:after="160" w:line="256" w:lineRule="auto"/>
        <w:jc w:val="both"/>
        <w:rPr>
          <w:sz w:val="26"/>
        </w:rPr>
      </w:pPr>
    </w:p>
    <w:p w:rsidR="002F4428" w:rsidRDefault="002F4428" w:rsidP="002E46E0">
      <w:pPr>
        <w:spacing w:line="259" w:lineRule="auto"/>
        <w:jc w:val="both"/>
        <w:rPr>
          <w:rFonts w:ascii="Times New Roman" w:hAnsi="Times New Roman"/>
          <w:b/>
          <w:sz w:val="28"/>
          <w:szCs w:val="28"/>
        </w:rPr>
      </w:pPr>
    </w:p>
    <w:p w:rsidR="002F4428" w:rsidRDefault="002F4428" w:rsidP="002E46E0">
      <w:pPr>
        <w:spacing w:line="259" w:lineRule="auto"/>
        <w:jc w:val="both"/>
        <w:rPr>
          <w:rFonts w:ascii="Times New Roman" w:hAnsi="Times New Roman"/>
          <w:sz w:val="24"/>
          <w:szCs w:val="24"/>
        </w:rPr>
      </w:pPr>
    </w:p>
    <w:p w:rsidR="002166BE" w:rsidRDefault="002166BE"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B426E6" w:rsidRDefault="00B426E6" w:rsidP="003505B4">
      <w:pPr>
        <w:spacing w:line="259" w:lineRule="auto"/>
        <w:rPr>
          <w:rFonts w:ascii="Times New Roman" w:hAnsi="Times New Roman"/>
          <w:sz w:val="24"/>
          <w:szCs w:val="24"/>
        </w:rPr>
      </w:pPr>
    </w:p>
    <w:p w:rsidR="005C587E" w:rsidRDefault="005C587E" w:rsidP="005C587E">
      <w:pPr>
        <w:jc w:val="right"/>
        <w:rPr>
          <w:rFonts w:ascii="Times New Roman" w:eastAsia="Times New Roman" w:hAnsi="Times New Roman"/>
          <w:sz w:val="26"/>
          <w:szCs w:val="20"/>
          <w:lang w:val="ru-RU" w:eastAsia="ru-RU"/>
        </w:rPr>
      </w:pPr>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Додаток </w:t>
      </w:r>
      <w:r w:rsidRPr="00715F82">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val="ru-RU" w:eastAsia="ru-RU"/>
        </w:rPr>
        <w:t xml:space="preserve"> </w:t>
      </w:r>
    </w:p>
    <w:p w:rsidR="005C587E" w:rsidRPr="005C587E" w:rsidRDefault="005C587E" w:rsidP="005C587E">
      <w:pPr>
        <w:jc w:val="right"/>
        <w:rPr>
          <w:rFonts w:ascii="Times New Roman" w:eastAsia="Times New Roman" w:hAnsi="Times New Roman"/>
          <w:b/>
          <w:sz w:val="26"/>
          <w:szCs w:val="20"/>
          <w:lang w:val="ru-RU" w:eastAsia="ru-RU"/>
        </w:rPr>
      </w:pPr>
    </w:p>
    <w:p w:rsidR="005C587E" w:rsidRPr="005C587E" w:rsidRDefault="005C587E" w:rsidP="005C587E">
      <w:pPr>
        <w:jc w:val="center"/>
        <w:rPr>
          <w:rFonts w:ascii="Times New Roman" w:eastAsia="Times New Roman" w:hAnsi="Times New Roman"/>
          <w:b/>
          <w:sz w:val="26"/>
          <w:szCs w:val="20"/>
          <w:lang w:val="ru-RU" w:eastAsia="ru-RU"/>
        </w:rPr>
      </w:pPr>
      <w:r w:rsidRPr="005C587E">
        <w:rPr>
          <w:rFonts w:ascii="Times New Roman" w:eastAsia="Times New Roman" w:hAnsi="Times New Roman"/>
          <w:b/>
          <w:sz w:val="26"/>
          <w:szCs w:val="20"/>
          <w:lang w:val="ru-RU" w:eastAsia="ru-RU"/>
        </w:rPr>
        <w:t xml:space="preserve">Программа </w:t>
      </w:r>
      <w:r w:rsidRPr="005C587E">
        <w:rPr>
          <w:rFonts w:ascii="Times New Roman" w:eastAsia="Times New Roman" w:hAnsi="Times New Roman"/>
          <w:b/>
          <w:sz w:val="26"/>
          <w:szCs w:val="20"/>
          <w:lang w:eastAsia="ru-RU"/>
        </w:rPr>
        <w:t>фінансової підтримки ЕБРР для МСБ</w:t>
      </w:r>
      <w:r w:rsidRPr="005C587E">
        <w:rPr>
          <w:rFonts w:ascii="Times New Roman" w:eastAsia="Times New Roman" w:hAnsi="Times New Roman"/>
          <w:b/>
          <w:sz w:val="26"/>
          <w:szCs w:val="20"/>
          <w:lang w:val="ru-RU" w:eastAsia="ru-RU"/>
        </w:rPr>
        <w:t xml:space="preserve"> </w:t>
      </w:r>
    </w:p>
    <w:p w:rsidR="005C587E" w:rsidRPr="005C587E" w:rsidRDefault="005C587E" w:rsidP="005C587E">
      <w:pPr>
        <w:rPr>
          <w:rFonts w:ascii="Times New Roman" w:eastAsia="Times New Roman" w:hAnsi="Times New Roman"/>
          <w:sz w:val="26"/>
          <w:szCs w:val="20"/>
          <w:lang w:val="ru-RU" w:eastAsia="ru-RU"/>
        </w:rPr>
      </w:pP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46"/>
        <w:gridCol w:w="7658"/>
      </w:tblGrid>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lastRenderedPageBreak/>
              <w:t>Цільовий розмір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eastAsia="ru-RU"/>
              </w:rPr>
            </w:pPr>
            <w:r w:rsidRPr="005C587E">
              <w:rPr>
                <w:rFonts w:ascii="Times New Roman" w:eastAsia="Times New Roman" w:hAnsi="Times New Roman"/>
                <w:sz w:val="26"/>
                <w:szCs w:val="20"/>
                <w:lang w:eastAsia="ru-RU"/>
              </w:rPr>
              <w:t>від 1 млн. до 10 млн. євро (можливість і умови збільшення розміру фінансування обговорюються);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ind w:left="-108"/>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форма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прямий кредит Банку, номінований у гривні, євро або дол. США (відсутність обмежень НБУ по виплаті</w:t>
            </w:r>
            <w:r w:rsidRPr="005C587E">
              <w:rPr>
                <w:rFonts w:ascii="Times New Roman" w:hAnsi="Times New Roman"/>
                <w:sz w:val="26"/>
                <w:szCs w:val="20"/>
              </w:rPr>
              <w:t xml:space="preserve"> </w:t>
            </w:r>
            <w:r w:rsidRPr="005C587E">
              <w:rPr>
                <w:rFonts w:ascii="Times New Roman" w:hAnsi="Times New Roman"/>
                <w:sz w:val="26"/>
                <w:szCs w:val="20"/>
                <w:lang w:val="ru-RU"/>
              </w:rPr>
              <w:t>% і повернення позики Банку);</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конвертація позики в капітал, або можливість вкладень в акціонерний капітал з часткою Банку до 35% обговорюється додатково;</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від 3-х до 10 років (можливість збільшення терміну до 15 років обговорюється);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структурування кредита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9-12 місяців (з моменту надання в Банк документації):</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проведення поглибленої фінансової, юридичної та технічної перевірки;</w:t>
            </w:r>
          </w:p>
          <w:p w:rsidR="005C587E" w:rsidRPr="005C587E" w:rsidRDefault="005C587E" w:rsidP="005C587E">
            <w:pPr>
              <w:contextualSpacing/>
              <w:jc w:val="both"/>
              <w:rPr>
                <w:rFonts w:ascii="Times New Roman" w:hAnsi="Times New Roman"/>
                <w:sz w:val="26"/>
                <w:szCs w:val="20"/>
                <w:lang w:val="ru-RU"/>
              </w:rPr>
            </w:pPr>
            <w:r w:rsidRPr="005C587E">
              <w:rPr>
                <w:rFonts w:ascii="Times New Roman" w:hAnsi="Times New Roman"/>
                <w:sz w:val="26"/>
                <w:szCs w:val="20"/>
                <w:lang w:val="ru-RU"/>
              </w:rPr>
              <w:t>структурування умов і видача кредиту;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ставка</w:t>
            </w:r>
          </w:p>
          <w:p w:rsidR="005C587E" w:rsidRPr="005C587E" w:rsidRDefault="005C587E" w:rsidP="005C587E">
            <w:pPr>
              <w:rPr>
                <w:rFonts w:ascii="Times New Roman" w:eastAsia="Times New Roman" w:hAnsi="Times New Roman"/>
                <w:b/>
                <w:sz w:val="26"/>
                <w:szCs w:val="20"/>
                <w:lang w:val="ru-RU" w:eastAsia="ru-RU"/>
              </w:rPr>
            </w:pP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Міжбанківська ставка (Libor / Euribor для валюти) + ринкова премія за ризик (обговорюється, як плаваюча, так і фіксована ставка);</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 xml:space="preserve">Забезпечення </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Застава активів (з урахуванням незалежної оцінки) в розмірі 1.5x до суми кредиту і корпоративних прав + інші форми забезпечення, що дозволяють знизити премію за ризик;</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val="ru-RU" w:eastAsia="ru-RU"/>
              </w:rPr>
              <w:t>Субс</w:t>
            </w:r>
            <w:r w:rsidRPr="005C587E">
              <w:rPr>
                <w:rFonts w:ascii="Times New Roman" w:eastAsia="Times New Roman" w:hAnsi="Times New Roman"/>
                <w:b/>
                <w:sz w:val="26"/>
                <w:szCs w:val="20"/>
                <w:lang w:eastAsia="ru-RU"/>
              </w:rPr>
              <w:t>идія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Банк не субсидує проекти і не надає пільги, але</w:t>
            </w:r>
            <w:r w:rsidRPr="005C587E">
              <w:rPr>
                <w:rFonts w:ascii="Times New Roman" w:hAnsi="Times New Roman"/>
                <w:sz w:val="26"/>
                <w:szCs w:val="20"/>
              </w:rPr>
              <w:t xml:space="preserve"> е</w:t>
            </w:r>
            <w:r w:rsidRPr="005C587E">
              <w:rPr>
                <w:rFonts w:ascii="Times New Roman" w:hAnsi="Times New Roman"/>
                <w:sz w:val="26"/>
                <w:szCs w:val="20"/>
                <w:lang w:val="ru-RU"/>
              </w:rPr>
              <w:t xml:space="preserve">фективна вартість фінансування може бути знижена за рахунок використання грантів, в т. ч. для проведення аудиту за МСФЗ, отримання кваліфікованих консультацій щодо реструктуризації корпоративного управління, впровадження технологій, розробки ТЕО </w:t>
            </w:r>
            <w:r w:rsidRPr="005C587E">
              <w:rPr>
                <w:rFonts w:ascii="Times New Roman" w:hAnsi="Times New Roman"/>
                <w:sz w:val="26"/>
                <w:szCs w:val="20"/>
              </w:rPr>
              <w:t>та</w:t>
            </w:r>
            <w:r w:rsidRPr="005C587E">
              <w:rPr>
                <w:rFonts w:ascii="Times New Roman" w:hAnsi="Times New Roman"/>
                <w:sz w:val="26"/>
                <w:szCs w:val="20"/>
                <w:lang w:val="ru-RU"/>
              </w:rPr>
              <w:t xml:space="preserve"> ін.;</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Вимоги</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EBITDA (за середнім курсом за період) від 1 млн євро;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Сума всіх існуючих кредитів і планов</w:t>
            </w:r>
            <w:r w:rsidRPr="005C587E">
              <w:rPr>
                <w:rFonts w:ascii="Times New Roman" w:eastAsia="Times New Roman" w:hAnsi="Times New Roman"/>
                <w:sz w:val="26"/>
                <w:szCs w:val="20"/>
                <w:lang w:eastAsia="ru-RU"/>
              </w:rPr>
              <w:t>ої</w:t>
            </w:r>
            <w:r w:rsidRPr="005C587E">
              <w:rPr>
                <w:rFonts w:ascii="Times New Roman" w:eastAsia="Times New Roman" w:hAnsi="Times New Roman"/>
                <w:sz w:val="26"/>
                <w:szCs w:val="20"/>
                <w:lang w:val="ru-RU" w:eastAsia="ru-RU"/>
              </w:rPr>
              <w:t xml:space="preserve"> позики Банку не вище 2.5x фактичної EBITDA;</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Відповідність критеріям МCП:</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1. Кількість працівників (на повній ставці) - не вище 500 осіб;</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2.а. Річний обсяг реалізації підприємства / холдингу - не вище 50 млн євро за середнім курсом, або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eastAsia="ru-RU"/>
              </w:rPr>
              <w:t>б</w:t>
            </w:r>
            <w:r w:rsidRPr="005C587E">
              <w:rPr>
                <w:rFonts w:ascii="Times New Roman" w:eastAsia="Times New Roman" w:hAnsi="Times New Roman"/>
                <w:sz w:val="26"/>
                <w:szCs w:val="20"/>
                <w:lang w:val="ru-RU" w:eastAsia="ru-RU"/>
              </w:rPr>
              <w:t>. Обсяг активів підприємства / холдингу - не вище 43 млн євро за курсом на звітну дату;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Цільове використання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Придбання підприємств, розширення, інновації, підвищення конкурентоспроможності, експортного потенціалу, ефективності (в т.ч. енергоефективності);</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С</w:t>
            </w:r>
            <w:r w:rsidRPr="005C587E">
              <w:rPr>
                <w:rFonts w:ascii="Times New Roman" w:hAnsi="Times New Roman"/>
                <w:sz w:val="26"/>
                <w:szCs w:val="20"/>
              </w:rPr>
              <w:t>уворо</w:t>
            </w:r>
            <w:r w:rsidRPr="005C587E">
              <w:rPr>
                <w:rFonts w:ascii="Times New Roman" w:hAnsi="Times New Roman"/>
                <w:sz w:val="26"/>
                <w:szCs w:val="20"/>
                <w:lang w:val="ru-RU"/>
              </w:rPr>
              <w:t xml:space="preserve"> контролюється Банком на всіх етапах фінансування;</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Банк не надає кошти для цілей рефінансування існуючих кредитів;</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Умови співробітництва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 момент схвалення кредиту наявність прозорої структури володіння і управління (пропонується консультаційна допомога);</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Наявність аудиту фінансової звітності за системою МСФЗ, або готовність до проведення аудиту (пропонується консультаційна допомога);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lastRenderedPageBreak/>
              <w:t>Дотримання принципів екологічної та соціальної відповідальності;</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lastRenderedPageBreak/>
              <w:t>Переваги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Канікули на виплату тіла кредиту (1-2 року обговорюються);</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Підтримка Банку по залученню необхідних експертиз для успішної реалізації проекту (в т.ч. гранти ЄС на кваліфіковані консультації щодо виходу на ринки ЄС, впровадження передових технологій, аудит за МСФЗ, технічний аудит, юр. </w:t>
            </w:r>
            <w:r w:rsidRPr="005C587E">
              <w:rPr>
                <w:rFonts w:ascii="Times New Roman" w:hAnsi="Times New Roman"/>
                <w:sz w:val="26"/>
                <w:szCs w:val="20"/>
              </w:rPr>
              <w:t>п</w:t>
            </w:r>
            <w:r w:rsidRPr="005C587E">
              <w:rPr>
                <w:rFonts w:ascii="Times New Roman" w:hAnsi="Times New Roman"/>
                <w:sz w:val="26"/>
                <w:szCs w:val="20"/>
                <w:lang w:val="ru-RU"/>
              </w:rPr>
              <w:t>ослуги і т.д.);</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Можливість збільшення розміру фінансування Банку / партнерських міжнародних фінансових організацій, у міру зростання підприємства;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Підтримка державних органів управління завдяки репутації та місії Банку.</w:t>
            </w:r>
          </w:p>
        </w:tc>
      </w:tr>
    </w:tbl>
    <w:p w:rsidR="005C587E" w:rsidRPr="005C587E" w:rsidRDefault="005C587E" w:rsidP="005C587E">
      <w:pPr>
        <w:rPr>
          <w:rFonts w:ascii="Times New Roman" w:eastAsia="Times New Roman" w:hAnsi="Times New Roman"/>
          <w:sz w:val="26"/>
          <w:szCs w:val="20"/>
          <w:lang w:val="ru-RU" w:eastAsia="ru-RU"/>
        </w:rPr>
      </w:pPr>
    </w:p>
    <w:p w:rsidR="005C587E" w:rsidRPr="005C587E" w:rsidRDefault="005C587E" w:rsidP="005C587E">
      <w:pPr>
        <w:rPr>
          <w:rFonts w:ascii="Times New Roman" w:eastAsia="Times New Roman" w:hAnsi="Times New Roman"/>
          <w:sz w:val="26"/>
          <w:szCs w:val="28"/>
          <w:lang w:eastAsia="ru-RU"/>
        </w:rPr>
      </w:pPr>
    </w:p>
    <w:p w:rsidR="00B426E6" w:rsidRDefault="00B426E6" w:rsidP="003505B4">
      <w:pPr>
        <w:spacing w:line="259" w:lineRule="auto"/>
        <w:rPr>
          <w:rFonts w:ascii="Times New Roman" w:hAnsi="Times New Roman"/>
          <w:sz w:val="24"/>
          <w:szCs w:val="24"/>
        </w:rPr>
      </w:pPr>
    </w:p>
    <w:sectPr w:rsidR="00B426E6" w:rsidSect="00CE0AC8">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E5" w:rsidRDefault="00591CE5" w:rsidP="00FB35B6">
      <w:r>
        <w:separator/>
      </w:r>
    </w:p>
  </w:endnote>
  <w:endnote w:type="continuationSeparator" w:id="0">
    <w:p w:rsidR="00591CE5" w:rsidRDefault="00591CE5" w:rsidP="00FB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E5" w:rsidRDefault="00591CE5" w:rsidP="00FB35B6">
      <w:r>
        <w:separator/>
      </w:r>
    </w:p>
  </w:footnote>
  <w:footnote w:type="continuationSeparator" w:id="0">
    <w:p w:rsidR="00591CE5" w:rsidRDefault="00591CE5" w:rsidP="00FB3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6534"/>
    <w:multiLevelType w:val="hybridMultilevel"/>
    <w:tmpl w:val="3E56E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47F79"/>
    <w:multiLevelType w:val="hybridMultilevel"/>
    <w:tmpl w:val="56707CBA"/>
    <w:lvl w:ilvl="0" w:tplc="180872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5C06946"/>
    <w:multiLevelType w:val="multilevel"/>
    <w:tmpl w:val="BFA010B2"/>
    <w:lvl w:ilvl="0">
      <w:start w:val="1"/>
      <w:numFmt w:val="bullet"/>
      <w:lvlText w:val="-"/>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B"/>
    <w:rsid w:val="00002804"/>
    <w:rsid w:val="000068DC"/>
    <w:rsid w:val="00016A17"/>
    <w:rsid w:val="0003124F"/>
    <w:rsid w:val="00031C06"/>
    <w:rsid w:val="00063F92"/>
    <w:rsid w:val="00081342"/>
    <w:rsid w:val="0009616F"/>
    <w:rsid w:val="000B6AD0"/>
    <w:rsid w:val="000C631D"/>
    <w:rsid w:val="001000F1"/>
    <w:rsid w:val="001065E5"/>
    <w:rsid w:val="00165C94"/>
    <w:rsid w:val="0017573D"/>
    <w:rsid w:val="00184D45"/>
    <w:rsid w:val="001A24EF"/>
    <w:rsid w:val="00201816"/>
    <w:rsid w:val="00204262"/>
    <w:rsid w:val="002121EF"/>
    <w:rsid w:val="002166BE"/>
    <w:rsid w:val="00232F03"/>
    <w:rsid w:val="00277663"/>
    <w:rsid w:val="002B52BB"/>
    <w:rsid w:val="002E06A3"/>
    <w:rsid w:val="002E46E0"/>
    <w:rsid w:val="002F4428"/>
    <w:rsid w:val="002F7488"/>
    <w:rsid w:val="003013B4"/>
    <w:rsid w:val="00305D52"/>
    <w:rsid w:val="003228A6"/>
    <w:rsid w:val="0032597E"/>
    <w:rsid w:val="003302CC"/>
    <w:rsid w:val="003505B4"/>
    <w:rsid w:val="00357FC3"/>
    <w:rsid w:val="00374270"/>
    <w:rsid w:val="003C2163"/>
    <w:rsid w:val="003E3958"/>
    <w:rsid w:val="003F00C4"/>
    <w:rsid w:val="00406F5B"/>
    <w:rsid w:val="00454D4C"/>
    <w:rsid w:val="00485894"/>
    <w:rsid w:val="004A446B"/>
    <w:rsid w:val="00506B02"/>
    <w:rsid w:val="0050762F"/>
    <w:rsid w:val="0056134A"/>
    <w:rsid w:val="005769D1"/>
    <w:rsid w:val="00591CE5"/>
    <w:rsid w:val="00593AFA"/>
    <w:rsid w:val="005A659E"/>
    <w:rsid w:val="005C587E"/>
    <w:rsid w:val="0060622A"/>
    <w:rsid w:val="006218F2"/>
    <w:rsid w:val="00653B02"/>
    <w:rsid w:val="006636CC"/>
    <w:rsid w:val="006733BA"/>
    <w:rsid w:val="006A110D"/>
    <w:rsid w:val="00713EB2"/>
    <w:rsid w:val="00715F82"/>
    <w:rsid w:val="0072162F"/>
    <w:rsid w:val="0072764D"/>
    <w:rsid w:val="00734193"/>
    <w:rsid w:val="007372BA"/>
    <w:rsid w:val="00767D19"/>
    <w:rsid w:val="00770F43"/>
    <w:rsid w:val="007761C7"/>
    <w:rsid w:val="00776855"/>
    <w:rsid w:val="007C1382"/>
    <w:rsid w:val="007C59D9"/>
    <w:rsid w:val="007C7BCA"/>
    <w:rsid w:val="007F48C2"/>
    <w:rsid w:val="008901BF"/>
    <w:rsid w:val="00897B4D"/>
    <w:rsid w:val="008B5A15"/>
    <w:rsid w:val="008F18FF"/>
    <w:rsid w:val="009102EA"/>
    <w:rsid w:val="00913738"/>
    <w:rsid w:val="00914650"/>
    <w:rsid w:val="00942A25"/>
    <w:rsid w:val="00983A98"/>
    <w:rsid w:val="00984F0C"/>
    <w:rsid w:val="009A5BFE"/>
    <w:rsid w:val="009E4A30"/>
    <w:rsid w:val="009F39B7"/>
    <w:rsid w:val="009F760B"/>
    <w:rsid w:val="00A312BC"/>
    <w:rsid w:val="00A41BEF"/>
    <w:rsid w:val="00A5765E"/>
    <w:rsid w:val="00A738C3"/>
    <w:rsid w:val="00A95CA5"/>
    <w:rsid w:val="00AA2029"/>
    <w:rsid w:val="00AA2578"/>
    <w:rsid w:val="00AA5C86"/>
    <w:rsid w:val="00AD40BB"/>
    <w:rsid w:val="00AF40CA"/>
    <w:rsid w:val="00B15088"/>
    <w:rsid w:val="00B426E6"/>
    <w:rsid w:val="00B5579B"/>
    <w:rsid w:val="00B86C32"/>
    <w:rsid w:val="00BB13BC"/>
    <w:rsid w:val="00BD1742"/>
    <w:rsid w:val="00BD4913"/>
    <w:rsid w:val="00C01F6D"/>
    <w:rsid w:val="00C20501"/>
    <w:rsid w:val="00C227EC"/>
    <w:rsid w:val="00C527E3"/>
    <w:rsid w:val="00C635F3"/>
    <w:rsid w:val="00C63F6E"/>
    <w:rsid w:val="00C709BB"/>
    <w:rsid w:val="00C73A48"/>
    <w:rsid w:val="00C73D72"/>
    <w:rsid w:val="00CA5B01"/>
    <w:rsid w:val="00CC22CE"/>
    <w:rsid w:val="00CC638D"/>
    <w:rsid w:val="00CE0AC8"/>
    <w:rsid w:val="00CF6C9C"/>
    <w:rsid w:val="00CF6D28"/>
    <w:rsid w:val="00D14C52"/>
    <w:rsid w:val="00D26E7D"/>
    <w:rsid w:val="00D26FCF"/>
    <w:rsid w:val="00DB0F7B"/>
    <w:rsid w:val="00DC263A"/>
    <w:rsid w:val="00DD5EB8"/>
    <w:rsid w:val="00DE15AA"/>
    <w:rsid w:val="00E25BAE"/>
    <w:rsid w:val="00E50748"/>
    <w:rsid w:val="00E572DD"/>
    <w:rsid w:val="00E77022"/>
    <w:rsid w:val="00E806C2"/>
    <w:rsid w:val="00E816AB"/>
    <w:rsid w:val="00EF31D8"/>
    <w:rsid w:val="00F577AB"/>
    <w:rsid w:val="00F9698E"/>
    <w:rsid w:val="00FA009F"/>
    <w:rsid w:val="00FB35B6"/>
    <w:rsid w:val="00FB584B"/>
    <w:rsid w:val="00FD31D6"/>
    <w:rsid w:val="00FD66B7"/>
    <w:rsid w:val="00FD6ED6"/>
    <w:rsid w:val="00FF5C3D"/>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D60E90-07AD-4EF7-BEE6-31290F7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6B"/>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52BB"/>
    <w:rPr>
      <w:rFonts w:cs="Times New Roman"/>
      <w:color w:val="0000FF"/>
      <w:u w:val="single"/>
    </w:rPr>
  </w:style>
  <w:style w:type="paragraph" w:styleId="a4">
    <w:name w:val="Balloon Text"/>
    <w:basedOn w:val="a"/>
    <w:link w:val="a5"/>
    <w:uiPriority w:val="99"/>
    <w:semiHidden/>
    <w:rsid w:val="00204262"/>
    <w:rPr>
      <w:rFonts w:ascii="Segoe UI" w:hAnsi="Segoe UI" w:cs="Segoe UI"/>
      <w:sz w:val="18"/>
      <w:szCs w:val="18"/>
    </w:rPr>
  </w:style>
  <w:style w:type="character" w:customStyle="1" w:styleId="a5">
    <w:name w:val="Текст выноски Знак"/>
    <w:link w:val="a4"/>
    <w:uiPriority w:val="99"/>
    <w:semiHidden/>
    <w:locked/>
    <w:rsid w:val="00204262"/>
    <w:rPr>
      <w:rFonts w:ascii="Segoe UI" w:hAnsi="Segoe UI" w:cs="Segoe UI"/>
      <w:sz w:val="18"/>
      <w:szCs w:val="18"/>
    </w:rPr>
  </w:style>
  <w:style w:type="character" w:styleId="a6">
    <w:name w:val="annotation reference"/>
    <w:uiPriority w:val="99"/>
    <w:semiHidden/>
    <w:rsid w:val="00AA2029"/>
    <w:rPr>
      <w:rFonts w:cs="Times New Roman"/>
      <w:sz w:val="16"/>
      <w:szCs w:val="16"/>
    </w:rPr>
  </w:style>
  <w:style w:type="paragraph" w:styleId="a7">
    <w:name w:val="annotation text"/>
    <w:basedOn w:val="a"/>
    <w:link w:val="a8"/>
    <w:uiPriority w:val="99"/>
    <w:semiHidden/>
    <w:rsid w:val="00AA2029"/>
    <w:rPr>
      <w:sz w:val="20"/>
      <w:szCs w:val="20"/>
    </w:rPr>
  </w:style>
  <w:style w:type="character" w:customStyle="1" w:styleId="a8">
    <w:name w:val="Текст примечания Знак"/>
    <w:link w:val="a7"/>
    <w:uiPriority w:val="99"/>
    <w:semiHidden/>
    <w:locked/>
    <w:rsid w:val="00AA2029"/>
    <w:rPr>
      <w:rFonts w:ascii="Calibri" w:hAnsi="Calibri" w:cs="Times New Roman"/>
      <w:sz w:val="20"/>
      <w:szCs w:val="20"/>
    </w:rPr>
  </w:style>
  <w:style w:type="paragraph" w:styleId="a9">
    <w:name w:val="annotation subject"/>
    <w:basedOn w:val="a7"/>
    <w:next w:val="a7"/>
    <w:link w:val="aa"/>
    <w:uiPriority w:val="99"/>
    <w:semiHidden/>
    <w:rsid w:val="00AA2029"/>
    <w:rPr>
      <w:b/>
      <w:bCs/>
    </w:rPr>
  </w:style>
  <w:style w:type="character" w:customStyle="1" w:styleId="aa">
    <w:name w:val="Тема примечания Знак"/>
    <w:link w:val="a9"/>
    <w:uiPriority w:val="99"/>
    <w:semiHidden/>
    <w:locked/>
    <w:rsid w:val="00AA2029"/>
    <w:rPr>
      <w:rFonts w:ascii="Calibri" w:hAnsi="Calibri" w:cs="Times New Roman"/>
      <w:b/>
      <w:bCs/>
      <w:sz w:val="20"/>
      <w:szCs w:val="20"/>
    </w:rPr>
  </w:style>
  <w:style w:type="paragraph" w:styleId="ab">
    <w:name w:val="header"/>
    <w:basedOn w:val="a"/>
    <w:link w:val="ac"/>
    <w:uiPriority w:val="99"/>
    <w:unhideWhenUsed/>
    <w:rsid w:val="00FB35B6"/>
    <w:pPr>
      <w:tabs>
        <w:tab w:val="center" w:pos="4677"/>
        <w:tab w:val="right" w:pos="9355"/>
      </w:tabs>
    </w:pPr>
  </w:style>
  <w:style w:type="character" w:customStyle="1" w:styleId="ac">
    <w:name w:val="Верхний колонтитул Знак"/>
    <w:link w:val="ab"/>
    <w:uiPriority w:val="99"/>
    <w:rsid w:val="00FB35B6"/>
    <w:rPr>
      <w:sz w:val="22"/>
      <w:szCs w:val="22"/>
      <w:lang w:val="uk-UA" w:eastAsia="en-US"/>
    </w:rPr>
  </w:style>
  <w:style w:type="paragraph" w:styleId="ad">
    <w:name w:val="footer"/>
    <w:basedOn w:val="a"/>
    <w:link w:val="ae"/>
    <w:uiPriority w:val="99"/>
    <w:unhideWhenUsed/>
    <w:rsid w:val="00FB35B6"/>
    <w:pPr>
      <w:tabs>
        <w:tab w:val="center" w:pos="4677"/>
        <w:tab w:val="right" w:pos="9355"/>
      </w:tabs>
    </w:pPr>
  </w:style>
  <w:style w:type="character" w:customStyle="1" w:styleId="ae">
    <w:name w:val="Нижний колонтитул Знак"/>
    <w:link w:val="ad"/>
    <w:uiPriority w:val="99"/>
    <w:rsid w:val="00FB35B6"/>
    <w:rPr>
      <w:sz w:val="22"/>
      <w:szCs w:val="22"/>
      <w:lang w:val="uk-UA" w:eastAsia="en-US"/>
    </w:rPr>
  </w:style>
  <w:style w:type="table" w:styleId="af">
    <w:name w:val="Table Grid"/>
    <w:basedOn w:val="a1"/>
    <w:locked/>
    <w:rsid w:val="0065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5B01"/>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08714">
      <w:marLeft w:val="0"/>
      <w:marRight w:val="0"/>
      <w:marTop w:val="0"/>
      <w:marBottom w:val="0"/>
      <w:divBdr>
        <w:top w:val="none" w:sz="0" w:space="0" w:color="auto"/>
        <w:left w:val="none" w:sz="0" w:space="0" w:color="auto"/>
        <w:bottom w:val="none" w:sz="0" w:space="0" w:color="auto"/>
        <w:right w:val="none" w:sz="0" w:space="0" w:color="auto"/>
      </w:divBdr>
    </w:div>
    <w:div w:id="1373308715">
      <w:marLeft w:val="0"/>
      <w:marRight w:val="0"/>
      <w:marTop w:val="0"/>
      <w:marBottom w:val="0"/>
      <w:divBdr>
        <w:top w:val="none" w:sz="0" w:space="0" w:color="auto"/>
        <w:left w:val="none" w:sz="0" w:space="0" w:color="auto"/>
        <w:bottom w:val="none" w:sz="0" w:space="0" w:color="auto"/>
        <w:right w:val="none" w:sz="0" w:space="0" w:color="auto"/>
      </w:divBdr>
    </w:div>
    <w:div w:id="1645770869">
      <w:bodyDiv w:val="1"/>
      <w:marLeft w:val="0"/>
      <w:marRight w:val="0"/>
      <w:marTop w:val="0"/>
      <w:marBottom w:val="0"/>
      <w:divBdr>
        <w:top w:val="none" w:sz="0" w:space="0" w:color="auto"/>
        <w:left w:val="none" w:sz="0" w:space="0" w:color="auto"/>
        <w:bottom w:val="none" w:sz="0" w:space="0" w:color="auto"/>
        <w:right w:val="none" w:sz="0" w:space="0" w:color="auto"/>
      </w:divBdr>
    </w:div>
    <w:div w:id="1865168748">
      <w:bodyDiv w:val="1"/>
      <w:marLeft w:val="0"/>
      <w:marRight w:val="0"/>
      <w:marTop w:val="0"/>
      <w:marBottom w:val="0"/>
      <w:divBdr>
        <w:top w:val="none" w:sz="0" w:space="0" w:color="auto"/>
        <w:left w:val="none" w:sz="0" w:space="0" w:color="auto"/>
        <w:bottom w:val="none" w:sz="0" w:space="0" w:color="auto"/>
        <w:right w:val="none" w:sz="0" w:space="0" w:color="auto"/>
      </w:divBdr>
    </w:div>
    <w:div w:id="20337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eu.com/71942332028351" TargetMode="External"/><Relationship Id="rId3" Type="http://schemas.openxmlformats.org/officeDocument/2006/relationships/settings" Target="settings.xml"/><Relationship Id="rId7" Type="http://schemas.openxmlformats.org/officeDocument/2006/relationships/hyperlink" Target="http://ebrdbusinessle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halilot@ebrd.com" TargetMode="External"/><Relationship Id="rId4" Type="http://schemas.openxmlformats.org/officeDocument/2006/relationships/webSettings" Target="webSettings.xml"/><Relationship Id="rId9" Type="http://schemas.openxmlformats.org/officeDocument/2006/relationships/hyperlink" Target="mailto:knowhowukraine@eb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3</cp:revision>
  <cp:lastPrinted>2019-07-30T12:49:00Z</cp:lastPrinted>
  <dcterms:created xsi:type="dcterms:W3CDTF">2019-07-30T13:09:00Z</dcterms:created>
  <dcterms:modified xsi:type="dcterms:W3CDTF">2019-07-30T13:53:00Z</dcterms:modified>
</cp:coreProperties>
</file>